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center"/>
        <w:tblInd w:w="0" w:type="dxa"/>
        <w:tblLayout w:type="fixed"/>
        <w:tblCellMar>
          <w:top w:w="0" w:type="dxa"/>
          <w:start w:w="108" w:type="dxa"/>
          <w:bottom w:w="0" w:type="dxa"/>
          <w:end w:w="108" w:type="dxa"/>
        </w:tblCellMar>
      </w:tblPr>
      <w:tblGrid>
        <w:gridCol w:w="4031"/>
        <w:gridCol w:w="5210"/>
      </w:tblGrid>
      <w:tr>
        <w:trPr/>
        <w:tc>
          <w:tcPr>
            <w:tcW w:w="403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rPr/>
            </w:pPr>
            <w:r>
              <w:rPr>
                <w:b/>
                <w:bCs/>
                <w:sz w:val="24"/>
                <w:szCs w:val="24"/>
                <w:rtl w:val="true"/>
              </w:rPr>
              <w:t>“</w:t>
            </w:r>
            <w:r>
              <w:rPr>
                <w:b/>
                <w:bCs/>
                <w:sz w:val="24"/>
                <w:szCs w:val="24"/>
              </w:rPr>
              <w:t>Complaints Policy</w:t>
            </w:r>
            <w:r>
              <w:rPr>
                <w:b/>
                <w:bCs/>
                <w:sz w:val="24"/>
                <w:szCs w:val="24"/>
                <w:rtl w:val="true"/>
              </w:rPr>
              <w:t>”</w:t>
            </w:r>
          </w:p>
        </w:tc>
        <w:tc>
          <w:tcPr>
            <w:tcW w:w="521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lineRule="auto" w:line="276" w:beforeAutospacing="1" w:after="0"/>
              <w:ind w:hanging="0" w:start="0" w:end="0"/>
              <w:jc w:val="both"/>
              <w:rPr/>
            </w:pPr>
            <w:r>
              <w:rPr>
                <w:b/>
                <w:bCs/>
                <w:sz w:val="24"/>
                <w:szCs w:val="24"/>
              </w:rPr>
              <w:t>Translated from English to ARABIC</w:t>
            </w:r>
          </w:p>
        </w:tc>
      </w:tr>
      <w:tr>
        <w:trPr/>
        <w:tc>
          <w:tcPr>
            <w:tcW w:w="4031"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0"/>
              <w:spacing w:lineRule="auto" w:line="276" w:beforeAutospacing="1" w:after="0"/>
              <w:ind w:hanging="0" w:start="0" w:end="0"/>
              <w:jc w:val="end"/>
              <w:rPr/>
            </w:pPr>
            <w:r>
              <w:rPr>
                <w:rFonts w:ascii="Times New Roman" w:hAnsi="Times New Roman"/>
                <w:b/>
                <w:bCs/>
                <w:sz w:val="24"/>
                <w:szCs w:val="24"/>
              </w:rPr>
              <w:t>“</w:t>
            </w:r>
            <w:r>
              <w:rPr>
                <w:rFonts w:ascii="Times New Roman" w:hAnsi="Times New Roman"/>
                <w:b/>
                <w:b/>
                <w:bCs/>
                <w:sz w:val="24"/>
                <w:sz w:val="24"/>
                <w:szCs w:val="24"/>
                <w:rtl w:val="true"/>
              </w:rPr>
              <w:t>سياسة الشكاوى</w:t>
            </w:r>
            <w:r>
              <w:rPr>
                <w:rFonts w:ascii="Times New Roman" w:hAnsi="Times New Roman"/>
                <w:b/>
                <w:b/>
                <w:bCs/>
                <w:sz w:val="24"/>
                <w:sz w:val="24"/>
                <w:szCs w:val="24"/>
              </w:rPr>
              <w:t>”</w:t>
            </w:r>
          </w:p>
        </w:tc>
        <w:tc>
          <w:tcPr>
            <w:tcW w:w="5210"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lineRule="auto" w:line="276" w:beforeAutospacing="1" w:after="0"/>
              <w:ind w:hanging="0" w:start="0" w:end="0"/>
              <w:jc w:val="start"/>
              <w:rPr/>
            </w:pPr>
            <w:r>
              <w:rPr>
                <w:rFonts w:ascii="Times New Roman" w:hAnsi="Times New Roman"/>
                <w:b/>
                <w:b/>
                <w:bCs/>
                <w:sz w:val="24"/>
                <w:sz w:val="24"/>
                <w:szCs w:val="24"/>
                <w:rtl w:val="true"/>
              </w:rPr>
              <w:t>ترجمة من الإنكيزية إلى العربية</w:t>
            </w:r>
          </w:p>
        </w:tc>
      </w:tr>
      <w:tr>
        <w:trPr/>
        <w:tc>
          <w:tcPr>
            <w:tcW w:w="403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lineRule="auto" w:line="276" w:beforeAutospacing="1" w:after="0"/>
              <w:ind w:hanging="0" w:start="0" w:end="0"/>
              <w:jc w:val="both"/>
              <w:rPr/>
            </w:pPr>
            <w:r>
              <w:rPr>
                <w:b/>
                <w:bCs/>
                <w:sz w:val="24"/>
                <w:szCs w:val="24"/>
              </w:rPr>
              <w:t>JUNE 2014</w:t>
            </w:r>
          </w:p>
        </w:tc>
        <w:tc>
          <w:tcPr>
            <w:tcW w:w="521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rPr/>
            </w:pPr>
            <w:r>
              <w:rPr>
                <w:b/>
                <w:bCs/>
                <w:sz w:val="24"/>
                <w:szCs w:val="24"/>
              </w:rPr>
              <w:t>Certified translation</w:t>
            </w:r>
          </w:p>
        </w:tc>
      </w:tr>
      <w:tr>
        <w:trPr/>
        <w:tc>
          <w:tcPr>
            <w:tcW w:w="4031"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lineRule="auto" w:line="276" w:beforeAutospacing="1" w:after="0"/>
              <w:ind w:hanging="0" w:start="0" w:end="0"/>
              <w:jc w:val="start"/>
              <w:rPr/>
            </w:pPr>
            <w:r>
              <w:rPr>
                <w:rFonts w:ascii="Times New Roman" w:hAnsi="Times New Roman"/>
                <w:b/>
                <w:b/>
                <w:bCs/>
                <w:sz w:val="24"/>
                <w:sz w:val="24"/>
                <w:szCs w:val="24"/>
                <w:rtl w:val="true"/>
              </w:rPr>
              <w:t xml:space="preserve">يونيو </w:t>
            </w:r>
            <w:r>
              <w:rPr>
                <w:rFonts w:ascii="Times New Roman" w:hAnsi="Times New Roman"/>
                <w:b/>
                <w:bCs/>
                <w:sz w:val="24"/>
                <w:szCs w:val="24"/>
                <w:rtl w:val="true"/>
              </w:rPr>
              <w:t xml:space="preserve">/ </w:t>
            </w:r>
            <w:r>
              <w:rPr>
                <w:rFonts w:ascii="Times New Roman" w:hAnsi="Times New Roman"/>
                <w:b/>
                <w:b/>
                <w:bCs/>
                <w:sz w:val="24"/>
                <w:sz w:val="24"/>
                <w:szCs w:val="24"/>
                <w:rtl w:val="true"/>
              </w:rPr>
              <w:t xml:space="preserve">حزيران </w:t>
            </w:r>
            <w:r>
              <w:rPr>
                <w:rFonts w:ascii="Times New Roman" w:hAnsi="Times New Roman"/>
                <w:b/>
                <w:bCs/>
                <w:sz w:val="24"/>
                <w:szCs w:val="24"/>
              </w:rPr>
              <w:t>2014</w:t>
            </w:r>
          </w:p>
        </w:tc>
        <w:tc>
          <w:tcPr>
            <w:tcW w:w="5210"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lineRule="auto" w:line="276" w:beforeAutospacing="1" w:after="0"/>
              <w:ind w:hanging="0" w:start="0" w:end="0"/>
              <w:jc w:val="start"/>
              <w:rPr/>
            </w:pPr>
            <w:r>
              <w:rPr>
                <w:rFonts w:ascii="Times New Roman" w:hAnsi="Times New Roman"/>
                <w:b/>
                <w:b/>
                <w:bCs/>
                <w:sz w:val="24"/>
                <w:sz w:val="24"/>
                <w:szCs w:val="24"/>
                <w:rtl w:val="true"/>
              </w:rPr>
              <w:t>ترجمة معتمدة</w:t>
            </w:r>
          </w:p>
        </w:tc>
      </w:tr>
    </w:tbl>
    <w:p>
      <w:pPr>
        <w:pStyle w:val="Heading1"/>
        <w:bidi w:val="1"/>
        <w:ind w:hanging="0" w:start="57" w:end="0"/>
        <w:jc w:val="both"/>
        <w:rPr>
          <w:sz w:val="28"/>
          <w:szCs w:val="28"/>
        </w:rPr>
      </w:pPr>
      <w:r>
        <w:rPr>
          <w:sz w:val="28"/>
          <w:szCs w:val="28"/>
          <w:rtl w:val="true"/>
        </w:rPr>
      </w:r>
      <w:bookmarkStart w:id="0" w:name="_Toc370393913"/>
      <w:bookmarkStart w:id="1" w:name="_Toc292722808"/>
      <w:bookmarkStart w:id="2" w:name="_Toc370393913"/>
      <w:bookmarkStart w:id="3" w:name="_Toc292722808"/>
    </w:p>
    <w:p>
      <w:pPr>
        <w:pStyle w:val="Heading1"/>
        <w:keepNext w:val="true"/>
        <w:keepLines/>
        <w:widowControl/>
        <w:numPr>
          <w:ilvl w:val="0"/>
          <w:numId w:val="1"/>
        </w:numPr>
        <w:bidi w:val="1"/>
        <w:ind w:hanging="357" w:start="357" w:end="0"/>
        <w:jc w:val="start"/>
        <w:rPr>
          <w:sz w:val="32"/>
          <w:szCs w:val="32"/>
        </w:rPr>
      </w:pPr>
      <w:r>
        <w:rPr>
          <w:sz w:val="32"/>
          <w:sz w:val="32"/>
          <w:szCs w:val="32"/>
          <w:rtl w:val="true"/>
        </w:rPr>
        <w:t xml:space="preserve">نظرة عامة للتعامل مع الشكاوى </w:t>
      </w:r>
    </w:p>
    <w:p>
      <w:pPr>
        <w:pStyle w:val="Normal"/>
        <w:bidi w:val="1"/>
        <w:spacing w:before="0" w:after="0"/>
        <w:ind w:hanging="0" w:start="0" w:end="0"/>
        <w:jc w:val="start"/>
        <w:rPr>
          <w:sz w:val="28"/>
          <w:szCs w:val="28"/>
        </w:rPr>
      </w:pPr>
      <w:r>
        <w:rPr>
          <w:sz w:val="28"/>
          <w:szCs w:val="28"/>
          <w:rtl w:val="true"/>
        </w:rPr>
      </w:r>
    </w:p>
    <w:p>
      <w:pPr>
        <w:pStyle w:val="Normal"/>
        <w:bidi w:val="1"/>
        <w:spacing w:lineRule="auto" w:line="276" w:before="0" w:after="0"/>
        <w:ind w:hanging="0" w:start="0" w:end="0"/>
        <w:jc w:val="start"/>
        <w:rPr>
          <w:sz w:val="28"/>
          <w:szCs w:val="28"/>
        </w:rPr>
      </w:pPr>
      <w:r>
        <w:rPr>
          <w:sz w:val="28"/>
          <w:sz w:val="28"/>
          <w:szCs w:val="28"/>
          <w:rtl w:val="true"/>
        </w:rPr>
        <w:t>ينبغي أن يقدم أفراد الجمهور الشكاوى ، بما في ذلك المتهمين، إلى مسئول مجموعة الممارسين التي كانت مشاركة في القضية موضوع الشكوى</w:t>
      </w:r>
      <w:r>
        <w:rPr>
          <w:sz w:val="28"/>
          <w:szCs w:val="28"/>
          <w:rtl w:val="true"/>
        </w:rPr>
        <w:t xml:space="preserve">. </w:t>
      </w:r>
      <w:r>
        <w:rPr>
          <w:sz w:val="28"/>
          <w:sz w:val="28"/>
          <w:szCs w:val="28"/>
          <w:rtl w:val="true"/>
        </w:rPr>
        <w:t>يقوم مدير وحدة التنسيق بلعب دور المنسق على النحو المطلوب</w:t>
      </w:r>
      <w:r>
        <w:rPr>
          <w:sz w:val="28"/>
          <w:szCs w:val="28"/>
          <w:rtl w:val="true"/>
        </w:rPr>
        <w:t>.</w:t>
      </w:r>
    </w:p>
    <w:p>
      <w:pPr>
        <w:pStyle w:val="Normal"/>
        <w:bidi w:val="1"/>
        <w:spacing w:lineRule="auto" w:line="360" w:before="0" w:after="0"/>
        <w:ind w:hanging="0" w:start="0" w:end="0"/>
        <w:jc w:val="start"/>
        <w:rPr>
          <w:sz w:val="28"/>
          <w:szCs w:val="28"/>
        </w:rPr>
      </w:pPr>
      <w:r>
        <w:rPr>
          <w:sz w:val="28"/>
          <w:sz w:val="28"/>
          <w:szCs w:val="28"/>
          <w:rtl w:val="true"/>
        </w:rPr>
        <w:t>سيتم النظر في جميع الشكاوى التي ترد بطريقة</w:t>
      </w:r>
      <w:r>
        <w:rPr>
          <w:sz w:val="28"/>
          <w:szCs w:val="28"/>
          <w:rtl w:val="true"/>
        </w:rPr>
        <w:t>:</w:t>
      </w:r>
    </w:p>
    <w:p>
      <w:pPr>
        <w:pStyle w:val="ListParagraph"/>
        <w:widowControl/>
        <w:numPr>
          <w:ilvl w:val="2"/>
          <w:numId w:val="2"/>
        </w:numPr>
        <w:tabs>
          <w:tab w:val="clear" w:pos="720"/>
          <w:tab w:val="right" w:pos="521" w:leader="none"/>
        </w:tabs>
        <w:bidi w:val="1"/>
        <w:spacing w:lineRule="auto" w:line="360" w:before="0" w:after="0"/>
        <w:ind w:hanging="426" w:start="521" w:end="0"/>
        <w:contextualSpacing/>
        <w:jc w:val="start"/>
        <w:rPr>
          <w:sz w:val="28"/>
          <w:szCs w:val="28"/>
        </w:rPr>
      </w:pPr>
      <w:r>
        <w:rPr>
          <w:sz w:val="28"/>
          <w:sz w:val="28"/>
          <w:szCs w:val="28"/>
          <w:rtl w:val="true"/>
        </w:rPr>
        <w:t>سرية؛</w:t>
      </w:r>
    </w:p>
    <w:p>
      <w:pPr>
        <w:pStyle w:val="ListParagraph"/>
        <w:widowControl/>
        <w:numPr>
          <w:ilvl w:val="2"/>
          <w:numId w:val="2"/>
        </w:numPr>
        <w:tabs>
          <w:tab w:val="clear" w:pos="720"/>
          <w:tab w:val="right" w:pos="521" w:leader="none"/>
        </w:tabs>
        <w:bidi w:val="1"/>
        <w:spacing w:lineRule="auto" w:line="360" w:before="0" w:after="0"/>
        <w:ind w:hanging="426" w:start="521" w:end="0"/>
        <w:contextualSpacing/>
        <w:jc w:val="start"/>
        <w:rPr>
          <w:sz w:val="28"/>
          <w:szCs w:val="28"/>
        </w:rPr>
      </w:pPr>
      <w:r>
        <w:rPr>
          <w:sz w:val="28"/>
          <w:sz w:val="28"/>
          <w:szCs w:val="28"/>
          <w:rtl w:val="true"/>
        </w:rPr>
        <w:t>بسرعة؛</w:t>
      </w:r>
    </w:p>
    <w:p>
      <w:pPr>
        <w:pStyle w:val="ListParagraph"/>
        <w:widowControl/>
        <w:numPr>
          <w:ilvl w:val="2"/>
          <w:numId w:val="2"/>
        </w:numPr>
        <w:tabs>
          <w:tab w:val="clear" w:pos="720"/>
          <w:tab w:val="right" w:pos="521" w:leader="none"/>
        </w:tabs>
        <w:bidi w:val="1"/>
        <w:spacing w:lineRule="auto" w:line="360" w:before="0" w:after="0"/>
        <w:ind w:hanging="426" w:start="521" w:end="0"/>
        <w:contextualSpacing/>
        <w:jc w:val="start"/>
        <w:rPr>
          <w:sz w:val="28"/>
          <w:szCs w:val="28"/>
        </w:rPr>
      </w:pPr>
      <w:r>
        <w:rPr>
          <w:sz w:val="28"/>
          <w:sz w:val="28"/>
          <w:szCs w:val="28"/>
          <w:rtl w:val="true"/>
        </w:rPr>
        <w:t>دون تمييز؛ و</w:t>
      </w:r>
    </w:p>
    <w:p>
      <w:pPr>
        <w:pStyle w:val="ListParagraph"/>
        <w:widowControl/>
        <w:numPr>
          <w:ilvl w:val="2"/>
          <w:numId w:val="2"/>
        </w:numPr>
        <w:tabs>
          <w:tab w:val="clear" w:pos="720"/>
          <w:tab w:val="right" w:pos="521" w:leader="none"/>
        </w:tabs>
        <w:bidi w:val="1"/>
        <w:spacing w:lineRule="auto" w:line="276" w:before="0" w:after="0"/>
        <w:ind w:hanging="426" w:start="521" w:end="0"/>
        <w:contextualSpacing/>
        <w:jc w:val="start"/>
        <w:rPr>
          <w:sz w:val="28"/>
          <w:szCs w:val="28"/>
        </w:rPr>
      </w:pPr>
      <w:r>
        <w:rPr>
          <w:sz w:val="28"/>
          <w:sz w:val="28"/>
          <w:szCs w:val="28"/>
          <w:rtl w:val="true"/>
        </w:rPr>
        <w:t>رسمية قدر الإمكان</w:t>
      </w:r>
      <w:r>
        <w:rPr>
          <w:sz w:val="28"/>
          <w:szCs w:val="28"/>
          <w:rtl w:val="true"/>
        </w:rPr>
        <w:t>.</w:t>
      </w:r>
    </w:p>
    <w:p>
      <w:pPr>
        <w:pStyle w:val="Normal"/>
        <w:bidi w:val="1"/>
        <w:spacing w:lineRule="auto" w:line="276" w:before="0" w:after="0"/>
        <w:ind w:hanging="0" w:start="0" w:end="0"/>
        <w:jc w:val="start"/>
        <w:rPr>
          <w:sz w:val="28"/>
          <w:szCs w:val="28"/>
        </w:rPr>
      </w:pPr>
      <w:r>
        <w:rPr>
          <w:sz w:val="28"/>
          <w:szCs w:val="28"/>
          <w:rtl w:val="true"/>
        </w:rPr>
      </w:r>
    </w:p>
    <w:p>
      <w:pPr>
        <w:pStyle w:val="Normal"/>
        <w:bidi w:val="1"/>
        <w:spacing w:lineRule="auto" w:line="276"/>
        <w:ind w:hanging="0" w:start="0" w:end="0"/>
        <w:jc w:val="start"/>
        <w:rPr>
          <w:sz w:val="28"/>
          <w:szCs w:val="28"/>
        </w:rPr>
      </w:pPr>
      <w:r>
        <w:rPr>
          <w:sz w:val="28"/>
          <w:sz w:val="28"/>
          <w:szCs w:val="28"/>
          <w:rtl w:val="true"/>
        </w:rPr>
        <w:t>يجب أن يكون الرد على الشكوى  دقيقا، وبشكل مختصر، ومدروس جيدا وبلغة بسيطة</w:t>
      </w:r>
      <w:r>
        <w:rPr>
          <w:sz w:val="28"/>
          <w:szCs w:val="28"/>
          <w:rtl w:val="true"/>
        </w:rPr>
        <w:t xml:space="preserve">. </w:t>
      </w:r>
      <w:r>
        <w:rPr>
          <w:sz w:val="28"/>
          <w:sz w:val="28"/>
          <w:szCs w:val="28"/>
          <w:rtl w:val="true"/>
        </w:rPr>
        <w:t>قد يحتاج الرد إلى الترجمة عند الضرورة</w:t>
      </w:r>
      <w:r>
        <w:rPr>
          <w:sz w:val="28"/>
          <w:szCs w:val="28"/>
          <w:rtl w:val="true"/>
        </w:rPr>
        <w:t>.</w:t>
      </w:r>
    </w:p>
    <w:p>
      <w:pPr>
        <w:pStyle w:val="Normal"/>
        <w:bidi w:val="1"/>
        <w:spacing w:lineRule="auto" w:line="276"/>
        <w:ind w:hanging="0" w:start="0" w:end="0"/>
        <w:jc w:val="start"/>
        <w:rPr>
          <w:sz w:val="28"/>
          <w:szCs w:val="28"/>
        </w:rPr>
      </w:pPr>
      <w:r>
        <w:rPr>
          <w:i/>
          <w:i/>
          <w:iCs/>
          <w:sz w:val="28"/>
          <w:sz w:val="28"/>
          <w:szCs w:val="28"/>
          <w:rtl w:val="true"/>
        </w:rPr>
        <w:t>دليل عملي حول أفضل الطرق للتعامل مع الشكاوي صادر عن أمين المظالم في الكومنويلث</w:t>
      </w:r>
      <w:r>
        <w:rPr>
          <w:sz w:val="28"/>
          <w:sz w:val="28"/>
          <w:szCs w:val="28"/>
          <w:rtl w:val="true"/>
        </w:rPr>
        <w:t xml:space="preserve">، متوفر على الموقع  </w:t>
      </w:r>
      <w:r>
        <w:rPr>
          <w:sz w:val="28"/>
          <w:szCs w:val="28"/>
          <w:rtl w:val="true"/>
        </w:rPr>
        <w:t>(</w:t>
      </w:r>
      <w:hyperlink r:id="rId2">
        <w:r>
          <w:rPr>
            <w:rStyle w:val="Hyperlink"/>
            <w:rFonts w:cs="Arial"/>
            <w:sz w:val="28"/>
            <w:szCs w:val="28"/>
            <w:lang w:val="en-AU" w:eastAsia="en-US" w:bidi="ar-SA"/>
          </w:rPr>
          <w:t>www.ombudsman.gov.au</w:t>
        </w:r>
      </w:hyperlink>
      <w:r>
        <w:rPr>
          <w:sz w:val="28"/>
          <w:szCs w:val="28"/>
          <w:rtl w:val="true"/>
        </w:rPr>
        <w:t xml:space="preserve">) </w:t>
      </w:r>
      <w:r>
        <w:rPr>
          <w:sz w:val="28"/>
          <w:sz w:val="28"/>
          <w:szCs w:val="28"/>
          <w:rtl w:val="true"/>
        </w:rPr>
        <w:t>والذي يشرح العناصر  الخمسة للتعامل مع الشكوى بشكل فعال وهي</w:t>
      </w:r>
      <w:r>
        <w:rPr>
          <w:sz w:val="28"/>
          <w:szCs w:val="28"/>
          <w:rtl w:val="true"/>
        </w:rPr>
        <w:t>:</w:t>
      </w:r>
    </w:p>
    <w:p>
      <w:pPr>
        <w:pStyle w:val="Normal"/>
        <w:bidi w:val="1"/>
        <w:spacing w:lineRule="auto" w:line="276"/>
        <w:ind w:hanging="426" w:start="521" w:end="0"/>
        <w:jc w:val="start"/>
        <w:rPr>
          <w:i/>
          <w:i/>
          <w:iCs/>
          <w:sz w:val="28"/>
          <w:szCs w:val="28"/>
        </w:rPr>
      </w:pPr>
      <w:r>
        <w:rPr>
          <w:sz w:val="28"/>
          <w:szCs w:val="28"/>
          <w:rtl w:val="true"/>
        </w:rPr>
        <w:t>•</w:t>
      </w:r>
      <w:r>
        <w:rPr>
          <w:i/>
          <w:iCs/>
          <w:sz w:val="28"/>
          <w:szCs w:val="28"/>
          <w:rtl w:val="true"/>
        </w:rPr>
        <w:t xml:space="preserve"> </w:t>
      </w:r>
      <w:r>
        <w:rPr>
          <w:i/>
          <w:iCs/>
          <w:sz w:val="28"/>
          <w:szCs w:val="28"/>
          <w:rtl w:val="true"/>
        </w:rPr>
        <w:tab/>
      </w:r>
      <w:r>
        <w:rPr>
          <w:i/>
          <w:i/>
          <w:iCs/>
          <w:sz w:val="28"/>
          <w:sz w:val="28"/>
          <w:szCs w:val="28"/>
          <w:rtl w:val="true"/>
        </w:rPr>
        <w:t xml:space="preserve">الثقافة </w:t>
      </w:r>
      <w:r>
        <w:rPr>
          <w:i/>
          <w:iCs/>
          <w:sz w:val="28"/>
          <w:szCs w:val="28"/>
          <w:rtl w:val="true"/>
        </w:rPr>
        <w:t xml:space="preserve">-  </w:t>
      </w:r>
      <w:r>
        <w:rPr>
          <w:i/>
          <w:i/>
          <w:iCs/>
          <w:sz w:val="28"/>
          <w:sz w:val="28"/>
          <w:szCs w:val="28"/>
          <w:rtl w:val="true"/>
        </w:rPr>
        <w:t>يجب على الوكالات أن تقدرالشكاوى على وسيلة لتقوية إدارتها وتحسين علاقاتها مع الجمهور</w:t>
      </w:r>
      <w:r>
        <w:rPr>
          <w:i/>
          <w:iCs/>
          <w:sz w:val="28"/>
          <w:szCs w:val="28"/>
          <w:rtl w:val="true"/>
        </w:rPr>
        <w:t>.</w:t>
      </w:r>
    </w:p>
    <w:p>
      <w:pPr>
        <w:pStyle w:val="Normal"/>
        <w:bidi w:val="1"/>
        <w:spacing w:lineRule="auto" w:line="276"/>
        <w:ind w:hanging="426" w:start="521" w:end="0"/>
        <w:jc w:val="start"/>
        <w:rPr>
          <w:i/>
          <w:i/>
          <w:iCs/>
          <w:sz w:val="28"/>
          <w:szCs w:val="28"/>
        </w:rPr>
      </w:pPr>
      <w:r>
        <w:rPr>
          <w:sz w:val="28"/>
          <w:szCs w:val="28"/>
          <w:rtl w:val="true"/>
        </w:rPr>
        <w:t>•</w:t>
      </w:r>
      <w:r>
        <w:rPr>
          <w:i/>
          <w:iCs/>
          <w:sz w:val="28"/>
          <w:szCs w:val="28"/>
          <w:rtl w:val="true"/>
        </w:rPr>
        <w:t xml:space="preserve"> </w:t>
      </w:r>
      <w:r>
        <w:rPr>
          <w:i/>
          <w:iCs/>
          <w:sz w:val="28"/>
          <w:szCs w:val="28"/>
          <w:rtl w:val="true"/>
        </w:rPr>
        <w:tab/>
      </w:r>
      <w:r>
        <w:rPr>
          <w:i/>
          <w:i/>
          <w:iCs/>
          <w:sz w:val="28"/>
          <w:sz w:val="28"/>
          <w:szCs w:val="28"/>
          <w:rtl w:val="true"/>
        </w:rPr>
        <w:t>المبادئ – يجب أن يكون نظام التعامل مع الشكوى بطريقة فعالة ومبني على مبادئ العدالة، وسهولة الوصول، والإستجابة والكفاءة والتكامل</w:t>
      </w:r>
      <w:r>
        <w:rPr>
          <w:i/>
          <w:iCs/>
          <w:sz w:val="28"/>
          <w:szCs w:val="28"/>
          <w:rtl w:val="true"/>
        </w:rPr>
        <w:t>.</w:t>
      </w:r>
    </w:p>
    <w:p>
      <w:pPr>
        <w:pStyle w:val="Normal"/>
        <w:bidi w:val="1"/>
        <w:spacing w:lineRule="auto" w:line="276"/>
        <w:ind w:firstLine="283" w:start="-188" w:end="0"/>
        <w:jc w:val="start"/>
        <w:rPr>
          <w:i/>
          <w:i/>
          <w:iCs/>
          <w:sz w:val="28"/>
          <w:szCs w:val="28"/>
        </w:rPr>
      </w:pPr>
      <w:r>
        <w:rPr>
          <w:sz w:val="28"/>
          <w:szCs w:val="28"/>
          <w:rtl w:val="true"/>
        </w:rPr>
        <w:t>•</w:t>
      </w:r>
      <w:r>
        <w:rPr>
          <w:i/>
          <w:iCs/>
          <w:sz w:val="28"/>
          <w:szCs w:val="28"/>
          <w:rtl w:val="true"/>
        </w:rPr>
        <w:tab/>
      </w:r>
      <w:r>
        <w:rPr>
          <w:i/>
          <w:i/>
          <w:iCs/>
          <w:sz w:val="28"/>
          <w:sz w:val="28"/>
          <w:szCs w:val="28"/>
          <w:rtl w:val="true"/>
        </w:rPr>
        <w:t>الأفراد –  يجب أن يكون الموظفون الذين يتعاملون مع الشكوى من المهرة والمحترفين</w:t>
      </w:r>
      <w:r>
        <w:rPr>
          <w:i/>
          <w:iCs/>
          <w:sz w:val="28"/>
          <w:szCs w:val="28"/>
          <w:rtl w:val="true"/>
        </w:rPr>
        <w:t>.</w:t>
      </w:r>
    </w:p>
    <w:p>
      <w:pPr>
        <w:pStyle w:val="Normal"/>
        <w:bidi w:val="1"/>
        <w:spacing w:lineRule="auto" w:line="276"/>
        <w:ind w:hanging="567" w:start="662" w:end="0"/>
        <w:jc w:val="start"/>
        <w:rPr>
          <w:i/>
          <w:i/>
          <w:iCs/>
          <w:sz w:val="28"/>
          <w:szCs w:val="28"/>
        </w:rPr>
      </w:pPr>
      <w:r>
        <w:rPr>
          <w:sz w:val="28"/>
          <w:szCs w:val="28"/>
          <w:rtl w:val="true"/>
        </w:rPr>
        <w:t>•</w:t>
      </w:r>
      <w:r>
        <w:rPr>
          <w:i/>
          <w:iCs/>
          <w:sz w:val="28"/>
          <w:szCs w:val="28"/>
          <w:rtl w:val="true"/>
        </w:rPr>
        <w:t xml:space="preserve"> </w:t>
      </w:r>
      <w:r>
        <w:rPr>
          <w:i/>
          <w:iCs/>
          <w:sz w:val="28"/>
          <w:szCs w:val="28"/>
          <w:rtl w:val="true"/>
        </w:rPr>
        <w:tab/>
      </w:r>
      <w:r>
        <w:rPr>
          <w:i/>
          <w:i/>
          <w:iCs/>
          <w:sz w:val="28"/>
          <w:sz w:val="28"/>
          <w:szCs w:val="28"/>
          <w:rtl w:val="true"/>
        </w:rPr>
        <w:t xml:space="preserve">النهج  </w:t>
      </w:r>
      <w:r>
        <w:rPr>
          <w:i/>
          <w:iCs/>
          <w:sz w:val="28"/>
          <w:szCs w:val="28"/>
          <w:rtl w:val="true"/>
        </w:rPr>
        <w:t xml:space="preserve">- </w:t>
      </w:r>
      <w:r>
        <w:rPr>
          <w:i/>
          <w:i/>
          <w:iCs/>
          <w:sz w:val="28"/>
          <w:sz w:val="28"/>
          <w:szCs w:val="28"/>
          <w:rtl w:val="true"/>
        </w:rPr>
        <w:t>المراحل السبع من التعامل مع الشكوى –  الإخطار بالإستلام، التقييم، التخطيط، التحقيق، المراجعة ،  والأخذ بعين الإعتبار المسائل  النظامية – يجب أن تكون الخطوط العريضة واضحة</w:t>
      </w:r>
      <w:r>
        <w:rPr>
          <w:i/>
          <w:iCs/>
          <w:sz w:val="28"/>
          <w:szCs w:val="28"/>
          <w:rtl w:val="true"/>
        </w:rPr>
        <w:t>.</w:t>
      </w:r>
    </w:p>
    <w:p>
      <w:pPr>
        <w:pStyle w:val="Normal"/>
        <w:bidi w:val="1"/>
        <w:spacing w:lineRule="auto" w:line="276"/>
        <w:ind w:hanging="426" w:start="521" w:end="0"/>
        <w:jc w:val="start"/>
        <w:rPr>
          <w:i/>
          <w:i/>
          <w:iCs/>
          <w:sz w:val="28"/>
          <w:szCs w:val="28"/>
        </w:rPr>
      </w:pPr>
      <w:r>
        <w:rPr>
          <w:sz w:val="28"/>
          <w:szCs w:val="28"/>
          <w:rtl w:val="true"/>
        </w:rPr>
        <w:t>•</w:t>
      </w:r>
      <w:r>
        <w:rPr>
          <w:i/>
          <w:iCs/>
          <w:sz w:val="28"/>
          <w:szCs w:val="28"/>
          <w:rtl w:val="true"/>
        </w:rPr>
        <w:tab/>
      </w:r>
      <w:r>
        <w:rPr>
          <w:i/>
          <w:i/>
          <w:iCs/>
          <w:sz w:val="28"/>
          <w:sz w:val="28"/>
          <w:szCs w:val="28"/>
          <w:rtl w:val="true"/>
        </w:rPr>
        <w:t>التحليل – يجب إستعمال المعلومات الواردة في الشكاوى كجزء من عملية مستمرة للمراجعة التنظيمية وتحسينها</w:t>
      </w:r>
      <w:r>
        <w:rPr>
          <w:i/>
          <w:iCs/>
          <w:sz w:val="28"/>
          <w:szCs w:val="28"/>
          <w:rtl w:val="true"/>
        </w:rPr>
        <w:t>.</w:t>
      </w:r>
    </w:p>
    <w:p>
      <w:pPr>
        <w:pStyle w:val="Normal"/>
        <w:bidi w:val="1"/>
        <w:spacing w:lineRule="auto" w:line="276"/>
        <w:ind w:hanging="0" w:start="0" w:end="0"/>
        <w:jc w:val="start"/>
        <w:rPr>
          <w:sz w:val="28"/>
          <w:szCs w:val="28"/>
        </w:rPr>
      </w:pPr>
      <w:r>
        <w:rPr>
          <w:sz w:val="28"/>
          <w:sz w:val="28"/>
          <w:szCs w:val="28"/>
          <w:rtl w:val="true"/>
        </w:rPr>
        <w:t>توفر هذه المبادئ التوجيهية إرشادات مفيدة وينبغي الرجوع إليها عند النظر في الشكاوى</w:t>
      </w:r>
      <w:r>
        <w:rPr>
          <w:sz w:val="28"/>
          <w:szCs w:val="28"/>
          <w:rtl w:val="true"/>
        </w:rPr>
        <w:t>.</w:t>
      </w:r>
      <w:bookmarkStart w:id="4" w:name="_Toc370393912"/>
      <w:bookmarkStart w:id="5" w:name="_Toc292722811"/>
      <w:bookmarkEnd w:id="2"/>
      <w:bookmarkEnd w:id="3"/>
      <w:r>
        <w:rPr>
          <w:b/>
          <w:bCs/>
          <w:sz w:val="28"/>
          <w:szCs w:val="28"/>
          <w:rtl w:val="true"/>
        </w:rPr>
        <w:tab/>
      </w:r>
    </w:p>
    <w:p>
      <w:pPr>
        <w:pStyle w:val="Heading1"/>
        <w:keepNext w:val="true"/>
        <w:keepLines/>
        <w:widowControl/>
        <w:numPr>
          <w:ilvl w:val="0"/>
          <w:numId w:val="1"/>
        </w:numPr>
        <w:bidi w:val="1"/>
        <w:spacing w:before="240" w:after="200"/>
        <w:ind w:hanging="357" w:start="357" w:end="0"/>
        <w:jc w:val="start"/>
        <w:rPr>
          <w:sz w:val="32"/>
          <w:szCs w:val="32"/>
        </w:rPr>
      </w:pPr>
      <w:r>
        <w:rPr>
          <w:sz w:val="32"/>
          <w:sz w:val="32"/>
          <w:szCs w:val="32"/>
          <w:rtl w:val="true"/>
        </w:rPr>
        <w:t xml:space="preserve">حساسية أو أهمية الشكاوى </w:t>
      </w:r>
      <w:bookmarkEnd w:id="4"/>
      <w:bookmarkEnd w:id="5"/>
    </w:p>
    <w:p>
      <w:pPr>
        <w:pStyle w:val="Normal"/>
        <w:bidi w:val="1"/>
        <w:spacing w:lineRule="auto" w:line="276"/>
        <w:ind w:hanging="0" w:start="0" w:end="0"/>
        <w:jc w:val="start"/>
        <w:rPr>
          <w:sz w:val="28"/>
          <w:szCs w:val="28"/>
        </w:rPr>
      </w:pPr>
      <w:r>
        <w:rPr>
          <w:sz w:val="28"/>
          <w:sz w:val="28"/>
          <w:szCs w:val="28"/>
          <w:rtl w:val="true"/>
        </w:rPr>
        <w:t>الشكاوى، بما في ذلك الشكاوى حول سير دعوى قضائية، التي تعتبر حساسة أو هامة أو من حيث صلتها بمسألة حساسة أو هامة، ينبغي تحويلها مباشرة إلى مسئول مجموعة الممارسين التي كانت مشاركة في القضية موضوع الشكوى</w:t>
      </w:r>
      <w:r>
        <w:rPr>
          <w:sz w:val="28"/>
          <w:szCs w:val="28"/>
          <w:rtl w:val="true"/>
        </w:rPr>
        <w:t xml:space="preserve">. </w:t>
      </w:r>
      <w:r>
        <w:rPr>
          <w:sz w:val="28"/>
          <w:sz w:val="28"/>
          <w:szCs w:val="28"/>
          <w:rtl w:val="true"/>
        </w:rPr>
        <w:t xml:space="preserve">يقوم مدير وحدة التنسيق بلعب دور المنسق على النحو المطلوب </w:t>
      </w:r>
    </w:p>
    <w:p>
      <w:pPr>
        <w:pStyle w:val="Normal"/>
        <w:bidi w:val="1"/>
        <w:spacing w:lineRule="auto" w:line="276"/>
        <w:ind w:hanging="0" w:start="0" w:end="0"/>
        <w:jc w:val="start"/>
        <w:rPr>
          <w:sz w:val="28"/>
          <w:szCs w:val="28"/>
        </w:rPr>
      </w:pPr>
      <w:r>
        <w:rPr>
          <w:sz w:val="28"/>
          <w:szCs w:val="28"/>
          <w:rtl w:val="true"/>
        </w:rPr>
      </w:r>
    </w:p>
    <w:p>
      <w:pPr>
        <w:pStyle w:val="Heading1"/>
        <w:keepNext w:val="true"/>
        <w:keepLines/>
        <w:widowControl/>
        <w:numPr>
          <w:ilvl w:val="0"/>
          <w:numId w:val="1"/>
        </w:numPr>
        <w:bidi w:val="1"/>
        <w:spacing w:lineRule="auto" w:line="276" w:before="120" w:after="200"/>
        <w:ind w:hanging="360" w:start="0" w:end="0"/>
        <w:jc w:val="start"/>
        <w:rPr>
          <w:sz w:val="32"/>
          <w:szCs w:val="32"/>
        </w:rPr>
      </w:pPr>
      <w:bookmarkStart w:id="6" w:name="_Toc370393914"/>
      <w:bookmarkStart w:id="7" w:name="_Toc292722812"/>
      <w:bookmarkStart w:id="8" w:name="_Toc292722810"/>
      <w:r>
        <w:rPr>
          <w:sz w:val="32"/>
          <w:sz w:val="32"/>
          <w:szCs w:val="32"/>
          <w:rtl w:val="true"/>
        </w:rPr>
        <w:t xml:space="preserve">شكاوى تتعلق بسوء سلوك موظف </w:t>
      </w:r>
      <w:bookmarkEnd w:id="7"/>
      <w:bookmarkEnd w:id="8"/>
    </w:p>
    <w:p>
      <w:pPr>
        <w:pStyle w:val="Normal"/>
        <w:bidi w:val="1"/>
        <w:spacing w:lineRule="auto" w:line="276"/>
        <w:ind w:hanging="0" w:start="0" w:end="0"/>
        <w:jc w:val="start"/>
        <w:rPr>
          <w:rFonts w:cs="Calibri"/>
          <w:sz w:val="28"/>
          <w:szCs w:val="28"/>
        </w:rPr>
      </w:pPr>
      <w:r>
        <w:rPr>
          <w:rFonts w:cs="Calibri"/>
          <w:sz w:val="28"/>
          <w:szCs w:val="28"/>
          <w:rtl w:val="true"/>
        </w:rPr>
      </w:r>
    </w:p>
    <w:p>
      <w:pPr>
        <w:pStyle w:val="Normal"/>
        <w:bidi w:val="1"/>
        <w:spacing w:lineRule="auto" w:line="276" w:before="0" w:after="0"/>
        <w:ind w:hanging="0" w:start="0" w:end="0"/>
        <w:jc w:val="start"/>
        <w:rPr>
          <w:rFonts w:cs="Times New Roman"/>
          <w:sz w:val="28"/>
          <w:szCs w:val="28"/>
        </w:rPr>
      </w:pPr>
      <w:r>
        <w:rPr>
          <w:sz w:val="28"/>
          <w:sz w:val="28"/>
          <w:szCs w:val="28"/>
          <w:rtl w:val="true"/>
        </w:rPr>
        <w:t>ينبغي أن تحال الشكاوى أو الإدعاءات الخاصة بسوء سلوك الموظف إلى خدمات الجمهور</w:t>
      </w:r>
      <w:r>
        <w:rPr>
          <w:sz w:val="28"/>
          <w:szCs w:val="28"/>
          <w:rtl w:val="true"/>
        </w:rPr>
        <w:t xml:space="preserve">. </w:t>
      </w:r>
      <w:r>
        <w:rPr>
          <w:sz w:val="28"/>
          <w:sz w:val="28"/>
          <w:szCs w:val="28"/>
          <w:rtl w:val="true"/>
        </w:rPr>
        <w:t xml:space="preserve">وسيتم التعامل مع هذه المسألة وفقا للإجراءات الداخلية باستخدام </w:t>
      </w:r>
      <w:r>
        <w:rPr>
          <w:sz w:val="28"/>
          <w:szCs w:val="28"/>
          <w:rtl w:val="true"/>
        </w:rPr>
        <w:t>"</w:t>
      </w:r>
      <w:r>
        <w:rPr>
          <w:sz w:val="28"/>
          <w:sz w:val="28"/>
          <w:szCs w:val="28"/>
          <w:rtl w:val="true"/>
        </w:rPr>
        <w:t xml:space="preserve">إرشادات السلوك </w:t>
      </w:r>
      <w:r>
        <w:rPr>
          <w:sz w:val="28"/>
          <w:szCs w:val="28"/>
        </w:rPr>
        <w:t>CDPP</w:t>
      </w:r>
      <w:r>
        <w:rPr>
          <w:sz w:val="28"/>
          <w:szCs w:val="28"/>
          <w:rtl w:val="true"/>
        </w:rPr>
        <w:t xml:space="preserve"> - </w:t>
      </w:r>
      <w:r>
        <w:rPr>
          <w:sz w:val="28"/>
          <w:sz w:val="28"/>
          <w:szCs w:val="28"/>
          <w:rtl w:val="true"/>
        </w:rPr>
        <w:t>تقديم شكوى</w:t>
      </w:r>
      <w:r>
        <w:rPr>
          <w:sz w:val="28"/>
          <w:szCs w:val="28"/>
          <w:rtl w:val="true"/>
        </w:rPr>
        <w:t xml:space="preserve">" </w:t>
      </w:r>
      <w:r>
        <w:rPr>
          <w:sz w:val="28"/>
          <w:sz w:val="28"/>
          <w:szCs w:val="28"/>
          <w:rtl w:val="true"/>
        </w:rPr>
        <w:t>كدليل</w:t>
      </w:r>
      <w:r>
        <w:rPr>
          <w:sz w:val="28"/>
          <w:szCs w:val="28"/>
          <w:rtl w:val="true"/>
        </w:rPr>
        <w:t xml:space="preserve">. </w:t>
      </w:r>
      <w:r>
        <w:rPr>
          <w:sz w:val="28"/>
          <w:sz w:val="28"/>
          <w:szCs w:val="28"/>
          <w:rtl w:val="true"/>
        </w:rPr>
        <w:t>تقوم خدمات الجمهور بالتنسيق مع مسئول مجموعة الممارسين لمجموعة الممارسة التي يعمل فيها الموظف موضوع الشكوى</w:t>
      </w:r>
      <w:r>
        <w:rPr>
          <w:sz w:val="28"/>
          <w:szCs w:val="28"/>
          <w:rtl w:val="true"/>
        </w:rPr>
        <w:t>.</w:t>
      </w:r>
    </w:p>
    <w:p>
      <w:pPr>
        <w:pStyle w:val="Normal"/>
        <w:bidi w:val="1"/>
        <w:spacing w:lineRule="auto" w:line="276" w:before="0" w:after="0"/>
        <w:ind w:hanging="0" w:start="720" w:end="0"/>
        <w:jc w:val="start"/>
        <w:rPr>
          <w:sz w:val="28"/>
          <w:szCs w:val="28"/>
        </w:rPr>
      </w:pPr>
      <w:r>
        <w:rPr>
          <w:sz w:val="28"/>
          <w:szCs w:val="28"/>
          <w:rtl w:val="true"/>
        </w:rPr>
      </w:r>
    </w:p>
    <w:p>
      <w:pPr>
        <w:pStyle w:val="Heading1"/>
        <w:keepNext w:val="true"/>
        <w:keepLines/>
        <w:widowControl/>
        <w:numPr>
          <w:ilvl w:val="0"/>
          <w:numId w:val="1"/>
        </w:numPr>
        <w:bidi w:val="1"/>
        <w:spacing w:lineRule="auto" w:line="276" w:before="120" w:after="0"/>
        <w:ind w:hanging="360" w:start="0" w:end="0"/>
        <w:jc w:val="start"/>
        <w:rPr>
          <w:sz w:val="32"/>
          <w:szCs w:val="32"/>
        </w:rPr>
      </w:pPr>
      <w:bookmarkStart w:id="9" w:name="_Toc370393914"/>
      <w:bookmarkStart w:id="10" w:name="_Toc292722812_Copy_1"/>
      <w:r>
        <w:rPr>
          <w:sz w:val="32"/>
          <w:sz w:val="32"/>
          <w:szCs w:val="32"/>
          <w:rtl w:val="true"/>
        </w:rPr>
        <w:t xml:space="preserve">الشكاوى التي تنطوي على النظر في إمكانية دفع تعويض، بما في ذلك مدفوعات على شكل هبة أوعلى شكل دفعة كتقدير  </w:t>
      </w:r>
      <w:bookmarkEnd w:id="9"/>
      <w:bookmarkEnd w:id="10"/>
    </w:p>
    <w:p>
      <w:pPr>
        <w:pStyle w:val="ListParagraph"/>
        <w:bidi w:val="1"/>
        <w:ind w:hanging="0" w:start="720" w:end="0"/>
        <w:jc w:val="start"/>
        <w:rPr>
          <w:sz w:val="28"/>
          <w:szCs w:val="28"/>
        </w:rPr>
      </w:pPr>
      <w:r>
        <w:rPr>
          <w:sz w:val="28"/>
          <w:szCs w:val="28"/>
          <w:rtl w:val="true"/>
        </w:rPr>
      </w:r>
    </w:p>
    <w:p>
      <w:pPr>
        <w:pStyle w:val="Normal"/>
        <w:bidi w:val="1"/>
        <w:spacing w:lineRule="auto" w:line="276"/>
        <w:ind w:hanging="0" w:start="0" w:end="0"/>
        <w:jc w:val="start"/>
        <w:rPr>
          <w:sz w:val="28"/>
          <w:szCs w:val="28"/>
        </w:rPr>
      </w:pPr>
      <w:r>
        <w:rPr>
          <w:sz w:val="28"/>
          <w:sz w:val="28"/>
          <w:szCs w:val="28"/>
          <w:rtl w:val="true"/>
        </w:rPr>
        <w:t>الشكاوى التي تنطوي على دفع تعويض لصاحب الشكوى، مثل الدفع على سبيل الهبة أو دفع مبلغ كتقدير يجب إحالتها إلى مسئول مجموعة الممارسين التي كانت مشاركة في القضية موضوع الشكوى</w:t>
      </w:r>
      <w:r>
        <w:rPr>
          <w:sz w:val="28"/>
          <w:szCs w:val="28"/>
          <w:rtl w:val="true"/>
        </w:rPr>
        <w:t xml:space="preserve">. </w:t>
      </w:r>
      <w:r>
        <w:rPr>
          <w:sz w:val="28"/>
          <w:sz w:val="28"/>
          <w:szCs w:val="28"/>
          <w:rtl w:val="true"/>
        </w:rPr>
        <w:t>يقوم مدير وحدة التنسيق بلعب دور المنسق على النحو المطلوب</w:t>
      </w:r>
      <w:r>
        <w:rPr>
          <w:sz w:val="28"/>
          <w:szCs w:val="28"/>
          <w:rtl w:val="true"/>
        </w:rPr>
        <w:t>.</w:t>
      </w:r>
    </w:p>
    <w:p>
      <w:pPr>
        <w:pStyle w:val="Normal"/>
        <w:bidi w:val="1"/>
        <w:spacing w:lineRule="auto" w:line="276"/>
        <w:ind w:hanging="0" w:start="0" w:end="0"/>
        <w:jc w:val="start"/>
        <w:rPr>
          <w:sz w:val="28"/>
          <w:szCs w:val="28"/>
        </w:rPr>
      </w:pPr>
      <w:r>
        <w:rPr>
          <w:sz w:val="28"/>
          <w:sz w:val="28"/>
          <w:szCs w:val="28"/>
          <w:rtl w:val="true"/>
        </w:rPr>
        <w:t>يجب على مسئول مجموعة الممارسين النظر فيما إذا كان هناك تشريع أو برنامج معين يمكن تطبيقه، على سبيل المثال</w:t>
      </w:r>
      <w:r>
        <w:rPr>
          <w:sz w:val="28"/>
          <w:szCs w:val="28"/>
          <w:rtl w:val="true"/>
        </w:rPr>
        <w:t>:</w:t>
      </w:r>
    </w:p>
    <w:p>
      <w:pPr>
        <w:pStyle w:val="ListParagraph"/>
        <w:widowControl/>
        <w:numPr>
          <w:ilvl w:val="2"/>
          <w:numId w:val="2"/>
        </w:numPr>
        <w:bidi w:val="1"/>
        <w:spacing w:before="0" w:after="0"/>
        <w:ind w:hanging="709" w:start="804" w:end="0"/>
        <w:contextualSpacing/>
        <w:jc w:val="start"/>
        <w:rPr>
          <w:i/>
          <w:i/>
          <w:iCs/>
          <w:sz w:val="28"/>
          <w:szCs w:val="28"/>
        </w:rPr>
      </w:pPr>
      <w:r>
        <w:rPr>
          <w:i/>
          <w:i/>
          <w:iCs/>
          <w:sz w:val="28"/>
          <w:sz w:val="28"/>
          <w:szCs w:val="28"/>
          <w:rtl w:val="true"/>
        </w:rPr>
        <w:t xml:space="preserve">إدارة الحكم العام ، قانون الأداء والمساءلة لعام </w:t>
      </w:r>
      <w:r>
        <w:rPr>
          <w:i/>
          <w:iCs/>
          <w:sz w:val="28"/>
          <w:szCs w:val="28"/>
        </w:rPr>
        <w:t>2013</w:t>
      </w:r>
      <w:r>
        <w:rPr>
          <w:i/>
          <w:iCs/>
          <w:sz w:val="28"/>
          <w:szCs w:val="28"/>
          <w:rtl w:val="true"/>
        </w:rPr>
        <w:t xml:space="preserve"> (</w:t>
      </w:r>
      <w:r>
        <w:rPr>
          <w:i/>
          <w:i/>
          <w:iCs/>
          <w:sz w:val="28"/>
          <w:sz w:val="28"/>
          <w:szCs w:val="28"/>
          <w:rtl w:val="true"/>
        </w:rPr>
        <w:t xml:space="preserve">المادة </w:t>
      </w:r>
      <w:r>
        <w:rPr>
          <w:i/>
          <w:iCs/>
          <w:sz w:val="28"/>
          <w:szCs w:val="28"/>
        </w:rPr>
        <w:t>63</w:t>
      </w:r>
      <w:r>
        <w:rPr>
          <w:i/>
          <w:iCs/>
          <w:sz w:val="28"/>
          <w:szCs w:val="28"/>
          <w:rtl w:val="true"/>
        </w:rPr>
        <w:t xml:space="preserve"> </w:t>
      </w:r>
      <w:r>
        <w:rPr>
          <w:i/>
          <w:i/>
          <w:iCs/>
          <w:sz w:val="28"/>
          <w:sz w:val="28"/>
          <w:szCs w:val="28"/>
          <w:rtl w:val="true"/>
        </w:rPr>
        <w:t xml:space="preserve">و </w:t>
      </w:r>
      <w:r>
        <w:rPr>
          <w:i/>
          <w:iCs/>
          <w:sz w:val="28"/>
          <w:szCs w:val="28"/>
        </w:rPr>
        <w:t>65</w:t>
      </w:r>
      <w:r>
        <w:rPr>
          <w:i/>
          <w:iCs/>
          <w:sz w:val="28"/>
          <w:szCs w:val="28"/>
          <w:rtl w:val="true"/>
        </w:rPr>
        <w:t>)</w:t>
      </w:r>
      <w:r>
        <w:rPr>
          <w:i/>
          <w:i/>
          <w:iCs/>
          <w:sz w:val="28"/>
          <w:sz w:val="28"/>
          <w:szCs w:val="28"/>
          <w:rtl w:val="true"/>
        </w:rPr>
        <w:t>؛</w:t>
      </w:r>
    </w:p>
    <w:p>
      <w:pPr>
        <w:pStyle w:val="ListParagraph"/>
        <w:widowControl/>
        <w:numPr>
          <w:ilvl w:val="2"/>
          <w:numId w:val="2"/>
        </w:numPr>
        <w:bidi w:val="1"/>
        <w:spacing w:before="0" w:after="0"/>
        <w:ind w:hanging="709" w:start="804" w:end="0"/>
        <w:contextualSpacing/>
        <w:jc w:val="start"/>
        <w:rPr>
          <w:i/>
          <w:i/>
          <w:iCs/>
          <w:sz w:val="28"/>
          <w:szCs w:val="28"/>
        </w:rPr>
      </w:pPr>
      <w:r>
        <w:rPr>
          <w:i/>
          <w:i/>
          <w:iCs/>
          <w:sz w:val="28"/>
          <w:sz w:val="28"/>
          <w:szCs w:val="28"/>
          <w:rtl w:val="true"/>
        </w:rPr>
        <w:t>التعويض عن الضرر الناجم عن خلل في النظام الإداري</w:t>
      </w:r>
      <w:r>
        <w:rPr>
          <w:i/>
          <w:iCs/>
          <w:sz w:val="28"/>
          <w:szCs w:val="28"/>
          <w:rtl w:val="true"/>
        </w:rPr>
        <w:t xml:space="preserve">. </w:t>
      </w:r>
    </w:p>
    <w:p>
      <w:pPr>
        <w:pStyle w:val="Normal"/>
        <w:bidi w:val="1"/>
        <w:spacing w:lineRule="auto" w:line="276"/>
        <w:ind w:hanging="709" w:start="379" w:end="0"/>
        <w:jc w:val="start"/>
        <w:rPr>
          <w:sz w:val="28"/>
          <w:szCs w:val="28"/>
        </w:rPr>
      </w:pPr>
      <w:r>
        <w:rPr>
          <w:sz w:val="28"/>
          <w:szCs w:val="28"/>
          <w:rtl w:val="true"/>
        </w:rPr>
      </w:r>
    </w:p>
    <w:p>
      <w:pPr>
        <w:pStyle w:val="Heading1"/>
        <w:keepNext w:val="true"/>
        <w:keepLines/>
        <w:widowControl/>
        <w:numPr>
          <w:ilvl w:val="0"/>
          <w:numId w:val="1"/>
        </w:numPr>
        <w:bidi w:val="1"/>
        <w:spacing w:lineRule="auto" w:line="276" w:before="120" w:after="200"/>
        <w:ind w:hanging="357" w:start="357" w:end="0"/>
        <w:jc w:val="start"/>
        <w:rPr>
          <w:sz w:val="32"/>
          <w:szCs w:val="32"/>
        </w:rPr>
      </w:pPr>
      <w:bookmarkStart w:id="11" w:name="_Toc370393916"/>
      <w:bookmarkStart w:id="12" w:name="_Toc292722813"/>
      <w:r>
        <w:rPr>
          <w:sz w:val="32"/>
          <w:sz w:val="32"/>
          <w:szCs w:val="32"/>
          <w:rtl w:val="true"/>
        </w:rPr>
        <w:t xml:space="preserve">الخطوات المتبعة في إجراءات الشكوى </w:t>
      </w:r>
      <w:bookmarkEnd w:id="11"/>
      <w:bookmarkEnd w:id="12"/>
    </w:p>
    <w:p>
      <w:pPr>
        <w:pStyle w:val="Normal"/>
        <w:bidi w:val="1"/>
        <w:spacing w:lineRule="auto" w:line="276"/>
        <w:ind w:hanging="0" w:start="0" w:end="0"/>
        <w:jc w:val="start"/>
        <w:rPr>
          <w:sz w:val="28"/>
          <w:szCs w:val="28"/>
        </w:rPr>
      </w:pPr>
      <w:r>
        <w:rPr>
          <w:sz w:val="28"/>
          <w:sz w:val="28"/>
          <w:szCs w:val="28"/>
          <w:rtl w:val="true"/>
        </w:rPr>
        <w:t>تهدف الخطوات التالية لتستعمل كدليل</w:t>
      </w:r>
      <w:r>
        <w:rPr>
          <w:sz w:val="28"/>
          <w:szCs w:val="28"/>
          <w:rtl w:val="true"/>
        </w:rPr>
        <w:t xml:space="preserve">. </w:t>
      </w:r>
      <w:r>
        <w:rPr>
          <w:sz w:val="28"/>
          <w:sz w:val="28"/>
          <w:szCs w:val="28"/>
          <w:rtl w:val="true"/>
        </w:rPr>
        <w:t>قد يكون هناك بعض الشكاوى التي تتطلب خطوات إضافية أو لا تتطلب كل الخطوات المذكورة أدناه</w:t>
      </w:r>
      <w:r>
        <w:rPr>
          <w:sz w:val="28"/>
          <w:szCs w:val="28"/>
          <w:rtl w:val="true"/>
        </w:rPr>
        <w:t>.</w:t>
      </w:r>
    </w:p>
    <w:p>
      <w:pPr>
        <w:pStyle w:val="Heading2"/>
        <w:bidi w:val="1"/>
        <w:spacing w:lineRule="auto" w:line="276"/>
        <w:ind w:hanging="0" w:start="0" w:end="0"/>
        <w:jc w:val="start"/>
        <w:rPr>
          <w:sz w:val="32"/>
          <w:szCs w:val="32"/>
        </w:rPr>
      </w:pPr>
      <w:bookmarkStart w:id="13" w:name="_Toc370393917"/>
      <w:r>
        <w:rPr>
          <w:sz w:val="32"/>
          <w:sz w:val="32"/>
          <w:szCs w:val="32"/>
          <w:rtl w:val="true"/>
        </w:rPr>
        <w:t xml:space="preserve">إخطار الإستلام </w:t>
      </w:r>
      <w:bookmarkEnd w:id="13"/>
    </w:p>
    <w:p>
      <w:pPr>
        <w:pStyle w:val="Normal"/>
        <w:bidi w:val="1"/>
        <w:spacing w:lineRule="auto" w:line="276" w:before="0" w:after="0"/>
        <w:ind w:hanging="0" w:start="0" w:end="0"/>
        <w:jc w:val="start"/>
        <w:rPr>
          <w:sz w:val="28"/>
          <w:szCs w:val="28"/>
        </w:rPr>
      </w:pPr>
      <w:r>
        <w:rPr>
          <w:sz w:val="28"/>
          <w:sz w:val="28"/>
          <w:szCs w:val="28"/>
          <w:rtl w:val="true"/>
        </w:rPr>
        <w:t>ينبغي إرسال رسالة بالبريد أو بالبريد الإلكتروني للتعريف بإستلام الطلب في أقرب وقت ممكن</w:t>
      </w:r>
      <w:r>
        <w:rPr>
          <w:sz w:val="28"/>
          <w:szCs w:val="28"/>
          <w:rtl w:val="true"/>
        </w:rPr>
        <w:t xml:space="preserve">. </w:t>
      </w:r>
    </w:p>
    <w:p>
      <w:pPr>
        <w:pStyle w:val="Heading2"/>
        <w:bidi w:val="1"/>
        <w:spacing w:lineRule="auto" w:line="276"/>
        <w:ind w:hanging="0" w:start="0" w:end="0"/>
        <w:jc w:val="start"/>
        <w:rPr>
          <w:sz w:val="32"/>
          <w:szCs w:val="32"/>
        </w:rPr>
      </w:pPr>
      <w:r>
        <w:rPr>
          <w:sz w:val="32"/>
          <w:szCs w:val="32"/>
          <w:rtl w:val="true"/>
        </w:rPr>
      </w:r>
      <w:bookmarkStart w:id="14" w:name="_Toc370393918"/>
      <w:bookmarkStart w:id="15" w:name="_Toc370393918"/>
    </w:p>
    <w:p>
      <w:pPr>
        <w:pStyle w:val="Normal"/>
        <w:bidi w:val="1"/>
        <w:spacing w:lineRule="auto" w:line="276"/>
        <w:ind w:hanging="0" w:start="0" w:end="0"/>
        <w:jc w:val="start"/>
        <w:rPr/>
      </w:pPr>
      <w:r>
        <w:rPr>
          <w:rtl w:val="true"/>
        </w:rPr>
      </w:r>
    </w:p>
    <w:p>
      <w:pPr>
        <w:pStyle w:val="Heading2"/>
        <w:bidi w:val="1"/>
        <w:spacing w:lineRule="auto" w:line="276"/>
        <w:ind w:hanging="0" w:start="0" w:end="0"/>
        <w:jc w:val="start"/>
        <w:rPr>
          <w:sz w:val="32"/>
          <w:szCs w:val="32"/>
        </w:rPr>
      </w:pPr>
      <w:bookmarkStart w:id="16" w:name="_Toc370393918"/>
      <w:r>
        <w:rPr>
          <w:sz w:val="32"/>
          <w:sz w:val="32"/>
          <w:szCs w:val="32"/>
          <w:rtl w:val="true"/>
        </w:rPr>
        <w:t xml:space="preserve">التقييم </w:t>
      </w:r>
      <w:bookmarkEnd w:id="16"/>
    </w:p>
    <w:p>
      <w:pPr>
        <w:pStyle w:val="Normal"/>
        <w:bidi w:val="1"/>
        <w:spacing w:lineRule="auto" w:line="276" w:before="0" w:after="0"/>
        <w:ind w:hanging="0" w:start="0" w:end="0"/>
        <w:jc w:val="start"/>
        <w:rPr>
          <w:sz w:val="28"/>
          <w:szCs w:val="28"/>
        </w:rPr>
      </w:pPr>
      <w:r>
        <w:rPr>
          <w:sz w:val="28"/>
          <w:sz w:val="28"/>
          <w:szCs w:val="28"/>
          <w:rtl w:val="true"/>
        </w:rPr>
        <w:t>تنطوي هذه الخطوة النظر في الردود الممكنة على الشكوى</w:t>
      </w:r>
      <w:r>
        <w:rPr>
          <w:sz w:val="28"/>
          <w:szCs w:val="28"/>
          <w:rtl w:val="true"/>
        </w:rPr>
        <w:t xml:space="preserve">. </w:t>
      </w:r>
      <w:r>
        <w:rPr>
          <w:sz w:val="28"/>
          <w:sz w:val="28"/>
          <w:szCs w:val="28"/>
          <w:rtl w:val="true"/>
        </w:rPr>
        <w:t>قد يتطلب هذا توضيح النتائج التي يسعى إليها مقدم الشكوى</w:t>
      </w:r>
      <w:r>
        <w:rPr>
          <w:sz w:val="28"/>
          <w:szCs w:val="28"/>
          <w:rtl w:val="true"/>
        </w:rPr>
        <w:t xml:space="preserve">. </w:t>
      </w:r>
      <w:r>
        <w:rPr>
          <w:sz w:val="28"/>
          <w:sz w:val="28"/>
          <w:szCs w:val="28"/>
          <w:rtl w:val="true"/>
        </w:rPr>
        <w:t>قد تحتاج بعض الشكاوى أن تُعطى الأولوية، خاصة إذا كانت هناك حدود زمنية عن بعض النتائج المحتملة</w:t>
      </w:r>
      <w:r>
        <w:rPr>
          <w:sz w:val="28"/>
          <w:szCs w:val="28"/>
          <w:rtl w:val="true"/>
        </w:rPr>
        <w:t>.</w:t>
      </w:r>
    </w:p>
    <w:p>
      <w:pPr>
        <w:pStyle w:val="Normal"/>
        <w:bidi w:val="1"/>
        <w:spacing w:lineRule="auto" w:line="276" w:before="0" w:after="0"/>
        <w:ind w:hanging="0" w:start="0" w:end="0"/>
        <w:jc w:val="start"/>
        <w:rPr>
          <w:sz w:val="28"/>
          <w:szCs w:val="28"/>
        </w:rPr>
      </w:pPr>
      <w:r>
        <w:rPr>
          <w:sz w:val="28"/>
          <w:szCs w:val="28"/>
          <w:rtl w:val="true"/>
        </w:rPr>
      </w:r>
    </w:p>
    <w:p>
      <w:pPr>
        <w:pStyle w:val="Normal"/>
        <w:bidi w:val="1"/>
        <w:spacing w:lineRule="auto" w:line="276"/>
        <w:ind w:hanging="0" w:start="0" w:end="0"/>
        <w:jc w:val="start"/>
        <w:rPr>
          <w:sz w:val="28"/>
          <w:szCs w:val="28"/>
        </w:rPr>
      </w:pPr>
      <w:r>
        <w:rPr>
          <w:sz w:val="28"/>
          <w:sz w:val="28"/>
          <w:szCs w:val="28"/>
          <w:rtl w:val="true"/>
        </w:rPr>
        <w:t>يجب على موظف الحالة أيضا التأكد من توصيل الشكوى إلى الوكالة المناسبة</w:t>
      </w:r>
      <w:r>
        <w:rPr>
          <w:sz w:val="28"/>
          <w:szCs w:val="28"/>
          <w:rtl w:val="true"/>
        </w:rPr>
        <w:t xml:space="preserve">. </w:t>
      </w:r>
      <w:r>
        <w:rPr>
          <w:sz w:val="28"/>
          <w:sz w:val="28"/>
          <w:szCs w:val="28"/>
          <w:rtl w:val="true"/>
        </w:rPr>
        <w:t>حيث قد تكون الشكوى تتناسب بشكل أكبر مع وكالة أخرى</w:t>
      </w:r>
      <w:r>
        <w:rPr>
          <w:sz w:val="28"/>
          <w:szCs w:val="28"/>
          <w:rtl w:val="true"/>
        </w:rPr>
        <w:t xml:space="preserve">. </w:t>
      </w:r>
      <w:r>
        <w:rPr>
          <w:sz w:val="28"/>
          <w:sz w:val="28"/>
          <w:szCs w:val="28"/>
          <w:rtl w:val="true"/>
        </w:rPr>
        <w:t>إذا تم التعامل مع الشكوى بشكل أفضل في وكالة أخرى، ينبغي على موظف الحالة إبلاغ صاحب الشكوى وإحالتها إلى الوكالة المناسبة</w:t>
      </w:r>
      <w:r>
        <w:rPr>
          <w:sz w:val="28"/>
          <w:szCs w:val="28"/>
          <w:rtl w:val="true"/>
        </w:rPr>
        <w:t>.</w:t>
      </w:r>
    </w:p>
    <w:p>
      <w:pPr>
        <w:pStyle w:val="Normal"/>
        <w:bidi w:val="1"/>
        <w:spacing w:lineRule="auto" w:line="276"/>
        <w:ind w:hanging="0" w:start="0" w:end="0"/>
        <w:jc w:val="start"/>
        <w:rPr>
          <w:sz w:val="28"/>
          <w:szCs w:val="28"/>
        </w:rPr>
      </w:pPr>
      <w:r>
        <w:rPr>
          <w:sz w:val="28"/>
          <w:sz w:val="28"/>
          <w:szCs w:val="28"/>
          <w:rtl w:val="true"/>
        </w:rPr>
        <w:t>ينبغي التحقيق في الشكوى بكل دقة</w:t>
      </w:r>
      <w:r>
        <w:rPr>
          <w:sz w:val="28"/>
          <w:szCs w:val="28"/>
          <w:rtl w:val="true"/>
        </w:rPr>
        <w:t xml:space="preserve">. </w:t>
      </w:r>
      <w:r>
        <w:rPr>
          <w:sz w:val="28"/>
          <w:sz w:val="28"/>
          <w:szCs w:val="28"/>
          <w:rtl w:val="true"/>
        </w:rPr>
        <w:t>يعتمد مستوى التحقيق اللازم على طبيعة الشكوى</w:t>
      </w:r>
      <w:r>
        <w:rPr>
          <w:sz w:val="28"/>
          <w:szCs w:val="28"/>
          <w:rtl w:val="true"/>
        </w:rPr>
        <w:t xml:space="preserve">. </w:t>
      </w:r>
      <w:r>
        <w:rPr>
          <w:sz w:val="28"/>
          <w:sz w:val="28"/>
          <w:szCs w:val="28"/>
          <w:rtl w:val="true"/>
        </w:rPr>
        <w:t>يجب الإحتفاظ بالمعلومات التي تم تدوينها للمكالمات التي أجريت في الملف وكذلك المستندات التي يتم إنشاؤها كجزء من التقييم</w:t>
      </w:r>
      <w:r>
        <w:rPr>
          <w:sz w:val="28"/>
          <w:szCs w:val="28"/>
          <w:rtl w:val="true"/>
        </w:rPr>
        <w:t>.</w:t>
      </w:r>
    </w:p>
    <w:p>
      <w:pPr>
        <w:pStyle w:val="Normal"/>
        <w:bidi w:val="1"/>
        <w:spacing w:lineRule="auto" w:line="276"/>
        <w:ind w:hanging="0" w:start="0" w:end="0"/>
        <w:jc w:val="start"/>
        <w:rPr>
          <w:sz w:val="28"/>
          <w:szCs w:val="28"/>
        </w:rPr>
      </w:pPr>
      <w:r>
        <w:rPr>
          <w:sz w:val="28"/>
          <w:sz w:val="28"/>
          <w:szCs w:val="28"/>
          <w:rtl w:val="true"/>
        </w:rPr>
        <w:t>ينبغي النظر فيما إذا كانت الشكوى تحتاج التحويل إلى المدير لإتخاذ قرار</w:t>
      </w:r>
      <w:r>
        <w:rPr>
          <w:sz w:val="28"/>
          <w:szCs w:val="28"/>
          <w:rtl w:val="true"/>
        </w:rPr>
        <w:t xml:space="preserve">. </w:t>
      </w:r>
      <w:r>
        <w:rPr>
          <w:sz w:val="28"/>
          <w:sz w:val="28"/>
          <w:szCs w:val="28"/>
          <w:rtl w:val="true"/>
        </w:rPr>
        <w:t>وهذا عادة ما يحدث</w:t>
      </w:r>
      <w:r>
        <w:rPr>
          <w:sz w:val="28"/>
          <w:szCs w:val="28"/>
          <w:rtl w:val="true"/>
        </w:rPr>
        <w:t xml:space="preserve">. </w:t>
      </w:r>
    </w:p>
    <w:p>
      <w:pPr>
        <w:pStyle w:val="Normal"/>
        <w:bidi w:val="1"/>
        <w:spacing w:lineRule="auto" w:line="276"/>
        <w:ind w:hanging="0" w:start="0" w:end="0"/>
        <w:jc w:val="start"/>
        <w:rPr>
          <w:sz w:val="28"/>
          <w:szCs w:val="28"/>
        </w:rPr>
      </w:pPr>
      <w:r>
        <w:rPr>
          <w:sz w:val="28"/>
          <w:sz w:val="28"/>
          <w:szCs w:val="28"/>
          <w:rtl w:val="true"/>
        </w:rPr>
        <w:t>إذا كان الأمر كذلك، يجب إعداد مذكرة لتسليط الضوء على القضايا المهمة لعرضها على المدير كما ينبغي إعدادها وتقديمها إلى وحدة تنسيق المدير</w:t>
      </w:r>
      <w:r>
        <w:rPr>
          <w:sz w:val="28"/>
          <w:szCs w:val="28"/>
          <w:rtl w:val="true"/>
        </w:rPr>
        <w:t xml:space="preserve">. </w:t>
      </w:r>
      <w:r>
        <w:rPr>
          <w:sz w:val="28"/>
          <w:sz w:val="28"/>
          <w:szCs w:val="28"/>
          <w:rtl w:val="true"/>
        </w:rPr>
        <w:t>ينبغي أن توضح المذكرة الخلفية، النقاط المثارة في الشكوى وأي توصية يقدمها مسؤول مجموعة الممارسين</w:t>
      </w:r>
      <w:r>
        <w:rPr>
          <w:sz w:val="28"/>
          <w:szCs w:val="28"/>
          <w:rtl w:val="true"/>
        </w:rPr>
        <w:t>.</w:t>
      </w:r>
    </w:p>
    <w:p>
      <w:pPr>
        <w:pStyle w:val="Heading2"/>
        <w:bidi w:val="1"/>
        <w:spacing w:lineRule="auto" w:line="276"/>
        <w:ind w:hanging="0" w:start="0" w:end="0"/>
        <w:jc w:val="start"/>
        <w:rPr>
          <w:sz w:val="32"/>
          <w:szCs w:val="32"/>
        </w:rPr>
      </w:pPr>
      <w:bookmarkStart w:id="17" w:name="_Toc370393919"/>
      <w:r>
        <w:rPr>
          <w:sz w:val="32"/>
          <w:sz w:val="32"/>
          <w:szCs w:val="32"/>
          <w:rtl w:val="true"/>
        </w:rPr>
        <w:t>الرد</w:t>
      </w:r>
    </w:p>
    <w:p>
      <w:pPr>
        <w:pStyle w:val="Heading2"/>
        <w:bidi w:val="1"/>
        <w:spacing w:lineRule="auto" w:line="276" w:before="0" w:after="120"/>
        <w:ind w:hanging="0" w:start="0" w:end="0"/>
        <w:jc w:val="start"/>
        <w:rPr>
          <w:sz w:val="2"/>
          <w:szCs w:val="2"/>
        </w:rPr>
      </w:pPr>
      <w:bookmarkStart w:id="18" w:name="_Toc370393919"/>
      <w:r>
        <w:rPr>
          <w:sz w:val="28"/>
          <w:szCs w:val="28"/>
          <w:rtl w:val="true"/>
        </w:rPr>
        <w:t xml:space="preserve"> </w:t>
      </w:r>
      <w:bookmarkEnd w:id="18"/>
    </w:p>
    <w:p>
      <w:pPr>
        <w:pStyle w:val="Normal"/>
        <w:bidi w:val="1"/>
        <w:spacing w:lineRule="auto" w:line="276"/>
        <w:ind w:hanging="0" w:start="0" w:end="0"/>
        <w:jc w:val="start"/>
        <w:rPr>
          <w:sz w:val="28"/>
          <w:szCs w:val="28"/>
        </w:rPr>
      </w:pPr>
      <w:r>
        <w:rPr>
          <w:sz w:val="28"/>
          <w:sz w:val="28"/>
          <w:szCs w:val="28"/>
          <w:rtl w:val="true"/>
        </w:rPr>
        <w:t>يجب أن يكون الرد مكتوبا، ويحدد الشكوى والرد عليها</w:t>
      </w:r>
      <w:r>
        <w:rPr>
          <w:sz w:val="28"/>
          <w:szCs w:val="28"/>
          <w:rtl w:val="true"/>
        </w:rPr>
        <w:t xml:space="preserve">. </w:t>
      </w:r>
      <w:r>
        <w:rPr>
          <w:sz w:val="28"/>
          <w:sz w:val="28"/>
          <w:szCs w:val="28"/>
          <w:rtl w:val="true"/>
        </w:rPr>
        <w:t xml:space="preserve">وسوف يشمل ذلك الأسباب التي أدت إلى القرار الذي إتخذته </w:t>
      </w:r>
      <w:r>
        <w:rPr>
          <w:rFonts w:ascii="Times New Roman" w:hAnsi="Times New Roman"/>
          <w:sz w:val="28"/>
          <w:szCs w:val="28"/>
        </w:rPr>
        <w:t>CDPP</w:t>
      </w:r>
      <w:r>
        <w:rPr>
          <w:sz w:val="28"/>
          <w:szCs w:val="28"/>
          <w:rtl w:val="true"/>
        </w:rPr>
        <w:t xml:space="preserve">. </w:t>
      </w:r>
      <w:r>
        <w:rPr>
          <w:sz w:val="28"/>
          <w:sz w:val="28"/>
          <w:szCs w:val="28"/>
          <w:rtl w:val="true"/>
        </w:rPr>
        <w:t xml:space="preserve">قد يحتاج الرد إلى الترجمة عند الضرورة </w:t>
      </w:r>
    </w:p>
    <w:p>
      <w:pPr>
        <w:pStyle w:val="Heading2"/>
        <w:bidi w:val="1"/>
        <w:spacing w:lineRule="auto" w:line="276"/>
        <w:ind w:hanging="0" w:start="0" w:end="0"/>
        <w:jc w:val="start"/>
        <w:rPr>
          <w:sz w:val="32"/>
          <w:szCs w:val="32"/>
        </w:rPr>
      </w:pPr>
      <w:bookmarkStart w:id="19" w:name="_Toc370393920"/>
      <w:r>
        <w:rPr>
          <w:sz w:val="32"/>
          <w:sz w:val="32"/>
          <w:szCs w:val="32"/>
          <w:rtl w:val="true"/>
        </w:rPr>
        <w:t xml:space="preserve">إنعكاس على سياسات وممارسات </w:t>
      </w:r>
      <w:r>
        <w:rPr>
          <w:rFonts w:ascii="Times New Roman" w:hAnsi="Times New Roman"/>
          <w:sz w:val="32"/>
          <w:sz w:val="32"/>
          <w:szCs w:val="32"/>
          <w:rtl w:val="true"/>
        </w:rPr>
        <w:t xml:space="preserve"> </w:t>
      </w:r>
      <w:r>
        <w:rPr>
          <w:rFonts w:ascii="Times New Roman" w:hAnsi="Times New Roman"/>
          <w:sz w:val="32"/>
          <w:szCs w:val="32"/>
        </w:rPr>
        <w:t>CDPP</w:t>
      </w:r>
      <w:r>
        <w:rPr>
          <w:sz w:val="32"/>
          <w:szCs w:val="32"/>
          <w:rtl w:val="true"/>
        </w:rPr>
        <w:t xml:space="preserve"> </w:t>
      </w:r>
      <w:bookmarkEnd w:id="19"/>
    </w:p>
    <w:p>
      <w:pPr>
        <w:pStyle w:val="Normal"/>
        <w:bidi w:val="1"/>
        <w:spacing w:lineRule="auto" w:line="276" w:before="0" w:after="0"/>
        <w:ind w:hanging="0" w:start="0" w:end="0"/>
        <w:jc w:val="start"/>
        <w:rPr>
          <w:sz w:val="28"/>
          <w:szCs w:val="28"/>
        </w:rPr>
      </w:pPr>
      <w:r>
        <w:rPr>
          <w:sz w:val="28"/>
          <w:sz w:val="28"/>
          <w:szCs w:val="28"/>
          <w:rtl w:val="true"/>
        </w:rPr>
        <w:t>إذا كانت الشكوى تتعلق بقضية تنظيمية بحيث تكون بحاجة إلى إعادة نظر لإجراء تغييرات على الممارسة أو السياسة الوطنية، ينبغي على مسؤول مجموعة الممارسين النظر في التغييرات المحتملة على الممارسة أو سياسات مجموعة الممارسة</w:t>
      </w:r>
      <w:r>
        <w:rPr>
          <w:sz w:val="28"/>
          <w:szCs w:val="28"/>
          <w:rtl w:val="true"/>
        </w:rPr>
        <w:t xml:space="preserve">.  </w:t>
      </w:r>
      <w:r>
        <w:rPr>
          <w:sz w:val="28"/>
          <w:sz w:val="28"/>
          <w:szCs w:val="28"/>
          <w:rtl w:val="true"/>
        </w:rPr>
        <w:t>إذا كانت الشكوى تتعلق بقضية تنظيمية بحيث تكون بحاجة إلى إعادة النظر في إجراء تغييرات على الممارسة أو السياسة الوطنية وأنها لا تقع ضمن أي مجموعة ممارسة معينة ، ينبغي أن ترسل بعد ذلك تقريرا إلى وحدة تنسيق المدير</w:t>
      </w:r>
      <w:r>
        <w:rPr>
          <w:sz w:val="28"/>
          <w:szCs w:val="28"/>
          <w:rtl w:val="true"/>
        </w:rPr>
        <w:t>.</w:t>
      </w:r>
    </w:p>
    <w:p>
      <w:pPr>
        <w:pStyle w:val="Normal"/>
        <w:bidi w:val="1"/>
        <w:spacing w:lineRule="auto" w:line="276" w:before="0" w:after="0"/>
        <w:ind w:hanging="0" w:start="0" w:end="0"/>
        <w:jc w:val="start"/>
        <w:rPr>
          <w:sz w:val="28"/>
          <w:szCs w:val="28"/>
        </w:rPr>
      </w:pPr>
      <w:r>
        <w:rPr>
          <w:sz w:val="28"/>
          <w:szCs w:val="28"/>
          <w:rtl w:val="true"/>
        </w:rPr>
      </w:r>
    </w:p>
    <w:p>
      <w:pPr>
        <w:pStyle w:val="Heading1"/>
        <w:keepNext w:val="true"/>
        <w:keepLines/>
        <w:widowControl/>
        <w:numPr>
          <w:ilvl w:val="0"/>
          <w:numId w:val="1"/>
        </w:numPr>
        <w:bidi w:val="1"/>
        <w:spacing w:lineRule="auto" w:line="276" w:before="120" w:after="0"/>
        <w:ind w:hanging="357" w:start="357" w:end="0"/>
        <w:jc w:val="start"/>
        <w:rPr>
          <w:sz w:val="32"/>
          <w:szCs w:val="32"/>
        </w:rPr>
      </w:pPr>
      <w:bookmarkStart w:id="20" w:name="_Toc370393921"/>
      <w:bookmarkStart w:id="21" w:name="_Toc292722814"/>
      <w:r>
        <w:rPr>
          <w:sz w:val="32"/>
          <w:sz w:val="32"/>
          <w:szCs w:val="32"/>
          <w:rtl w:val="true"/>
        </w:rPr>
        <w:t xml:space="preserve">سرية الشكاوى </w:t>
      </w:r>
      <w:bookmarkEnd w:id="20"/>
      <w:bookmarkEnd w:id="21"/>
    </w:p>
    <w:p>
      <w:pPr>
        <w:pStyle w:val="Normal"/>
        <w:bidi w:val="1"/>
        <w:spacing w:lineRule="auto" w:line="276"/>
        <w:ind w:hanging="0" w:start="0" w:end="0"/>
        <w:jc w:val="start"/>
        <w:rPr>
          <w:sz w:val="28"/>
          <w:szCs w:val="28"/>
        </w:rPr>
      </w:pPr>
      <w:r>
        <w:rPr>
          <w:sz w:val="28"/>
          <w:sz w:val="28"/>
          <w:szCs w:val="28"/>
          <w:rtl w:val="true"/>
        </w:rPr>
        <w:t>يجب أن يؤخذ في الإعتبار إذا كان الأمر يتعلق بحساسية الشكوى</w:t>
      </w:r>
      <w:r>
        <w:rPr>
          <w:sz w:val="28"/>
          <w:szCs w:val="28"/>
          <w:rtl w:val="true"/>
        </w:rPr>
        <w:t xml:space="preserve">.  </w:t>
      </w:r>
      <w:r>
        <w:rPr>
          <w:sz w:val="28"/>
          <w:sz w:val="28"/>
          <w:szCs w:val="28"/>
          <w:rtl w:val="true"/>
        </w:rPr>
        <w:t>يجب مراعاة المواد والإدعاءات من أجل تحديد مستوى السرية المطلوبة</w:t>
      </w:r>
      <w:r>
        <w:rPr>
          <w:sz w:val="28"/>
          <w:szCs w:val="28"/>
          <w:rtl w:val="true"/>
        </w:rPr>
        <w:t xml:space="preserve">. </w:t>
      </w:r>
      <w:r>
        <w:rPr>
          <w:sz w:val="28"/>
          <w:sz w:val="28"/>
          <w:szCs w:val="28"/>
          <w:rtl w:val="true"/>
        </w:rPr>
        <w:t xml:space="preserve">الشكاوى التي تدور حول مزاعم ضد موظفي </w:t>
      </w:r>
      <w:r>
        <w:rPr>
          <w:rFonts w:ascii="Times New Roman" w:hAnsi="Times New Roman"/>
          <w:sz w:val="28"/>
          <w:szCs w:val="28"/>
        </w:rPr>
        <w:t>CDPP</w:t>
      </w:r>
      <w:r>
        <w:rPr>
          <w:sz w:val="28"/>
          <w:sz w:val="28"/>
          <w:szCs w:val="28"/>
          <w:rtl w:val="true"/>
        </w:rPr>
        <w:t>، ولا سيما الأمور المتعلقة بالنواحي الشخصية، ينبغي التعامل معها بحذر لضمان إحترام خصوصية الفرد</w:t>
      </w:r>
      <w:r>
        <w:rPr>
          <w:sz w:val="28"/>
          <w:szCs w:val="28"/>
          <w:rtl w:val="true"/>
        </w:rPr>
        <w:t>.</w:t>
      </w:r>
    </w:p>
    <w:p>
      <w:pPr>
        <w:pStyle w:val="Normal"/>
        <w:bidi w:val="0"/>
        <w:spacing w:lineRule="auto" w:line="276"/>
        <w:ind w:hanging="0" w:start="0" w:end="0"/>
        <w:rPr/>
      </w:pPr>
      <w:r>
        <w:rPr/>
      </w:r>
      <w:r>
        <w:br w:type="page"/>
      </w:r>
    </w:p>
    <w:p>
      <w:pPr>
        <w:pStyle w:val="Normal"/>
        <w:bidi w:val="0"/>
        <w:spacing w:lineRule="auto" w:line="276" w:before="0" w:after="200"/>
        <w:ind w:hanging="0" w:start="0" w:end="0"/>
        <w:rPr>
          <w:b/>
          <w:bCs/>
          <w:color w:val="947246"/>
        </w:rPr>
      </w:pPr>
      <w:r>
        <w:rPr>
          <w:b/>
          <w:bCs/>
          <w:color w:val="947246"/>
        </w:rPr>
        <w:t>English text</w:t>
      </w:r>
    </w:p>
    <w:p>
      <w:pPr>
        <w:pStyle w:val="Heading1"/>
        <w:keepNext w:val="true"/>
        <w:keepLines/>
        <w:widowControl/>
        <w:numPr>
          <w:ilvl w:val="0"/>
          <w:numId w:val="6"/>
        </w:numPr>
        <w:bidi w:val="0"/>
        <w:spacing w:lineRule="auto" w:line="276"/>
        <w:ind w:hanging="360" w:start="360" w:end="0"/>
        <w:jc w:val="both"/>
        <w:rPr/>
      </w:pPr>
      <w:r>
        <w:rPr/>
        <w:t>Complaint Handling Overview</w:t>
      </w:r>
    </w:p>
    <w:p>
      <w:pPr>
        <w:pStyle w:val="Normal"/>
        <w:bidi w:val="0"/>
        <w:spacing w:lineRule="auto" w:line="276" w:before="0" w:after="0"/>
        <w:ind w:hanging="0" w:start="0" w:end="0"/>
        <w:jc w:val="both"/>
        <w:rPr/>
      </w:pPr>
      <w:r>
        <w:rPr/>
        <w:t xml:space="preserve">Complaints from members of the public, including defendants, should be made to the Practice Group Leader of the Practice Group which was involved in the case the subject of the complaint.  The Director’s Coordination Unit will play a coordination role as required.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contextualSpacing/>
        <w:jc w:val="both"/>
        <w:rPr/>
      </w:pPr>
      <w:r>
        <w:rPr/>
        <w:t>All complaints received will be considered:</w:t>
      </w:r>
    </w:p>
    <w:p>
      <w:pPr>
        <w:pStyle w:val="ListParagraph"/>
        <w:widowControl/>
        <w:numPr>
          <w:ilvl w:val="0"/>
          <w:numId w:val="3"/>
        </w:numPr>
        <w:bidi w:val="0"/>
        <w:spacing w:lineRule="auto" w:line="276" w:before="0" w:after="0"/>
        <w:ind w:hanging="360" w:start="360" w:end="0"/>
        <w:contextualSpacing/>
        <w:jc w:val="both"/>
        <w:rPr/>
      </w:pPr>
      <w:r>
        <w:rPr/>
        <w:t>confidentially;</w:t>
      </w:r>
    </w:p>
    <w:p>
      <w:pPr>
        <w:pStyle w:val="ListParagraph"/>
        <w:widowControl/>
        <w:numPr>
          <w:ilvl w:val="0"/>
          <w:numId w:val="3"/>
        </w:numPr>
        <w:bidi w:val="0"/>
        <w:spacing w:lineRule="auto" w:line="276" w:before="0" w:after="0"/>
        <w:ind w:hanging="360" w:start="360" w:end="0"/>
        <w:contextualSpacing/>
        <w:jc w:val="both"/>
        <w:rPr/>
      </w:pPr>
      <w:r>
        <w:rPr/>
        <w:t xml:space="preserve">quickly; </w:t>
      </w:r>
    </w:p>
    <w:p>
      <w:pPr>
        <w:pStyle w:val="ListParagraph"/>
        <w:widowControl/>
        <w:numPr>
          <w:ilvl w:val="0"/>
          <w:numId w:val="3"/>
        </w:numPr>
        <w:bidi w:val="0"/>
        <w:spacing w:lineRule="auto" w:line="276" w:before="0" w:after="0"/>
        <w:ind w:hanging="360" w:start="360" w:end="0"/>
        <w:contextualSpacing/>
        <w:jc w:val="both"/>
        <w:rPr/>
      </w:pPr>
      <w:r>
        <w:rPr/>
        <w:t xml:space="preserve">impartially; and     </w:t>
      </w:r>
    </w:p>
    <w:p>
      <w:pPr>
        <w:pStyle w:val="ListParagraph"/>
        <w:widowControl/>
        <w:numPr>
          <w:ilvl w:val="0"/>
          <w:numId w:val="3"/>
        </w:numPr>
        <w:bidi w:val="0"/>
        <w:spacing w:lineRule="auto" w:line="276" w:before="0" w:after="0"/>
        <w:ind w:hanging="360" w:start="360" w:end="0"/>
        <w:contextualSpacing/>
        <w:jc w:val="both"/>
        <w:rPr/>
      </w:pPr>
      <w:r>
        <w:rPr/>
        <w:t xml:space="preserve">as informally as possible. </w:t>
      </w:r>
    </w:p>
    <w:p>
      <w:pPr>
        <w:pStyle w:val="ListParagraph"/>
        <w:bidi w:val="0"/>
        <w:spacing w:lineRule="auto" w:line="276" w:before="0" w:after="0"/>
        <w:ind w:hanging="0" w:start="360" w:end="0"/>
        <w:contextualSpacing/>
        <w:jc w:val="both"/>
        <w:rPr/>
      </w:pPr>
      <w:r>
        <w:rPr/>
      </w:r>
    </w:p>
    <w:p>
      <w:pPr>
        <w:pStyle w:val="Normal"/>
        <w:bidi w:val="0"/>
        <w:spacing w:lineRule="auto" w:line="276" w:before="0" w:after="0"/>
        <w:ind w:hanging="0" w:start="0" w:end="0"/>
        <w:jc w:val="both"/>
        <w:rPr/>
      </w:pPr>
      <w:r>
        <w:rPr/>
        <w:t xml:space="preserve">The response to the complainant should be accurate, concise, well-considered and in simple language.  Where necessary the response may need to be translated.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 xml:space="preserve">The Commonwealth Ombudsman’s </w:t>
      </w:r>
      <w:r>
        <w:rPr>
          <w:i/>
        </w:rPr>
        <w:t>Better Practice Guide to Complaint Handling</w:t>
      </w:r>
      <w:r>
        <w:rPr/>
        <w:t xml:space="preserve"> (available at </w:t>
      </w:r>
      <w:hyperlink r:id="rId3">
        <w:r>
          <w:rPr>
            <w:rStyle w:val="Hyperlink"/>
            <w:rFonts w:cs="Arial"/>
            <w:lang w:val="en-AU" w:eastAsia="en-US" w:bidi="ar-SA"/>
          </w:rPr>
          <w:t>www.ombudsman.gov.au</w:t>
        </w:r>
      </w:hyperlink>
      <w:r>
        <w:rPr/>
        <w:t>) describes five elements of effective complaint handling:</w:t>
      </w:r>
    </w:p>
    <w:p>
      <w:pPr>
        <w:pStyle w:val="Normal"/>
        <w:bidi w:val="0"/>
        <w:spacing w:lineRule="auto" w:line="276" w:before="0" w:after="0"/>
        <w:ind w:hanging="0" w:start="0" w:end="0"/>
        <w:jc w:val="both"/>
        <w:rPr/>
      </w:pPr>
      <w:r>
        <w:rPr/>
      </w:r>
    </w:p>
    <w:p>
      <w:pPr>
        <w:pStyle w:val="ListParagraph"/>
        <w:widowControl/>
        <w:numPr>
          <w:ilvl w:val="0"/>
          <w:numId w:val="5"/>
        </w:numPr>
        <w:bidi w:val="0"/>
        <w:spacing w:lineRule="auto" w:line="276" w:before="0" w:after="0"/>
        <w:ind w:hanging="360" w:start="360" w:end="0"/>
        <w:contextualSpacing/>
        <w:jc w:val="both"/>
        <w:rPr>
          <w:i/>
          <w:i/>
        </w:rPr>
      </w:pPr>
      <w:r>
        <w:rPr>
          <w:i/>
        </w:rPr>
        <w:t>Culture - Agencies must value complaints as a means of strengthening their administration and improving their relations with the public.</w:t>
      </w:r>
    </w:p>
    <w:p>
      <w:pPr>
        <w:pStyle w:val="ListParagraph"/>
        <w:widowControl/>
        <w:numPr>
          <w:ilvl w:val="0"/>
          <w:numId w:val="5"/>
        </w:numPr>
        <w:bidi w:val="0"/>
        <w:spacing w:lineRule="auto" w:line="276" w:before="0" w:after="0"/>
        <w:ind w:hanging="360" w:start="360" w:end="0"/>
        <w:contextualSpacing/>
        <w:jc w:val="both"/>
        <w:rPr>
          <w:i/>
          <w:i/>
        </w:rPr>
      </w:pPr>
      <w:r>
        <w:rPr>
          <w:i/>
        </w:rPr>
        <w:t>Principles - An effective complaint handling system must be modelled on the principles of fairness, accessibility, responsiveness, efficiency and integration.</w:t>
      </w:r>
    </w:p>
    <w:p>
      <w:pPr>
        <w:pStyle w:val="ListParagraph"/>
        <w:widowControl/>
        <w:numPr>
          <w:ilvl w:val="0"/>
          <w:numId w:val="5"/>
        </w:numPr>
        <w:bidi w:val="0"/>
        <w:spacing w:lineRule="auto" w:line="276" w:before="0" w:after="0"/>
        <w:ind w:hanging="360" w:start="360" w:end="0"/>
        <w:contextualSpacing/>
        <w:jc w:val="both"/>
        <w:rPr>
          <w:i/>
          <w:i/>
        </w:rPr>
      </w:pPr>
      <w:r>
        <w:rPr>
          <w:i/>
        </w:rPr>
        <w:t>People - Complaint handling staff must be skilled and professional.</w:t>
      </w:r>
    </w:p>
    <w:p>
      <w:pPr>
        <w:pStyle w:val="ListParagraph"/>
        <w:widowControl/>
        <w:numPr>
          <w:ilvl w:val="0"/>
          <w:numId w:val="5"/>
        </w:numPr>
        <w:bidi w:val="0"/>
        <w:spacing w:lineRule="auto" w:line="276" w:before="0" w:after="0"/>
        <w:ind w:hanging="360" w:start="360" w:end="0"/>
        <w:contextualSpacing/>
        <w:jc w:val="both"/>
        <w:rPr>
          <w:i/>
          <w:i/>
        </w:rPr>
      </w:pPr>
      <w:r>
        <w:rPr>
          <w:i/>
        </w:rPr>
        <w:t>Process - The seven stages of complaint handling – acknowledgment, assessment, planning, investigation, response, review, and consideration of systemic issues – should be clearly outlined.</w:t>
      </w:r>
    </w:p>
    <w:p>
      <w:pPr>
        <w:pStyle w:val="ListParagraph"/>
        <w:widowControl/>
        <w:numPr>
          <w:ilvl w:val="0"/>
          <w:numId w:val="5"/>
        </w:numPr>
        <w:bidi w:val="0"/>
        <w:spacing w:lineRule="auto" w:line="276" w:before="0" w:after="0"/>
        <w:ind w:hanging="357" w:start="354" w:end="0"/>
        <w:contextualSpacing/>
        <w:jc w:val="both"/>
        <w:rPr>
          <w:i/>
          <w:i/>
        </w:rPr>
      </w:pPr>
      <w:r>
        <w:rPr>
          <w:i/>
        </w:rPr>
        <w:t xml:space="preserve">Analysis - Information about complaints should be examined as part of a continuous process of organisational review and improvement.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These guidelines provide useful guidance and should be referred to when considering complaints.</w:t>
      </w:r>
    </w:p>
    <w:p>
      <w:pPr>
        <w:pStyle w:val="Normal"/>
        <w:bidi w:val="0"/>
        <w:spacing w:lineRule="auto" w:line="276" w:before="0" w:after="0"/>
        <w:ind w:hanging="0" w:start="0" w:end="0"/>
        <w:rPr/>
      </w:pPr>
      <w:r>
        <w:rPr/>
      </w:r>
    </w:p>
    <w:p>
      <w:pPr>
        <w:pStyle w:val="Heading1"/>
        <w:keepNext w:val="true"/>
        <w:keepLines/>
        <w:widowControl/>
        <w:numPr>
          <w:ilvl w:val="0"/>
          <w:numId w:val="6"/>
        </w:numPr>
        <w:bidi w:val="0"/>
        <w:spacing w:lineRule="auto" w:line="276"/>
        <w:ind w:hanging="357" w:start="357" w:end="0"/>
        <w:jc w:val="both"/>
        <w:rPr/>
      </w:pPr>
      <w:r>
        <w:rPr/>
        <w:t>Sensitive or Significant Complaints</w:t>
      </w:r>
    </w:p>
    <w:p>
      <w:pPr>
        <w:pStyle w:val="Normal"/>
        <w:bidi w:val="0"/>
        <w:spacing w:lineRule="auto" w:line="276" w:before="0" w:after="0"/>
        <w:ind w:hanging="0" w:start="0" w:end="0"/>
        <w:jc w:val="both"/>
        <w:rPr/>
      </w:pPr>
      <w:r>
        <w:rPr/>
        <w:t xml:space="preserve">Complaints, including complaints about the conduct of prosecutions, that are sensitive or significant, or where they relate to a sensitive or significant matter should also be made directly to the Practice Group Leader of the Practice Group which was involved in the case the subject of the complaint.  The Director’s Coordination Unit will play a coordination role as required. </w:t>
      </w:r>
    </w:p>
    <w:p>
      <w:pPr>
        <w:pStyle w:val="Normal"/>
        <w:bidi w:val="0"/>
        <w:spacing w:lineRule="auto" w:line="276" w:before="0" w:after="0"/>
        <w:ind w:hanging="0" w:start="0" w:end="0"/>
        <w:jc w:val="both"/>
        <w:rPr/>
      </w:pPr>
      <w:r>
        <w:rPr/>
      </w:r>
    </w:p>
    <w:p>
      <w:pPr>
        <w:pStyle w:val="Heading1"/>
        <w:keepNext w:val="true"/>
        <w:keepLines/>
        <w:widowControl/>
        <w:numPr>
          <w:ilvl w:val="0"/>
          <w:numId w:val="6"/>
        </w:numPr>
        <w:bidi w:val="0"/>
        <w:spacing w:lineRule="auto" w:line="276"/>
        <w:ind w:hanging="357" w:start="357" w:end="0"/>
        <w:jc w:val="both"/>
        <w:rPr/>
      </w:pPr>
      <w:r>
        <w:rPr/>
        <w:t>Complaints Relating to Employee Misconduct</w:t>
      </w:r>
    </w:p>
    <w:p>
      <w:pPr>
        <w:pStyle w:val="Normal"/>
        <w:bidi w:val="0"/>
        <w:spacing w:lineRule="auto" w:line="276" w:before="0" w:after="0"/>
        <w:ind w:hanging="0" w:start="0" w:end="0"/>
        <w:jc w:val="both"/>
        <w:rPr/>
      </w:pPr>
      <w:r>
        <w:rPr/>
        <w:t>Complaints or allegations of employee misconduct should be referred to People Services.  The matter will be dealt with in accordance with internal procedures using the ‘</w:t>
      </w:r>
      <w:r>
        <w:rPr>
          <w:i/>
        </w:rPr>
        <w:t>CDPP Conduct Guidelines - Making a Complaint’</w:t>
      </w:r>
      <w:r>
        <w:rPr/>
        <w:t xml:space="preserve"> as the framework.   People Services will liaise with Practice Group Leader of the Practice Group in which the employee the subject of the complaint works.  </w:t>
      </w:r>
    </w:p>
    <w:p>
      <w:pPr>
        <w:pStyle w:val="Normal"/>
        <w:bidi w:val="0"/>
        <w:spacing w:lineRule="auto" w:line="276" w:before="0" w:after="0"/>
        <w:ind w:hanging="0" w:start="720" w:end="0"/>
        <w:rPr/>
      </w:pPr>
      <w:r>
        <w:rPr/>
      </w:r>
    </w:p>
    <w:p>
      <w:pPr>
        <w:pStyle w:val="Heading1"/>
        <w:keepNext w:val="true"/>
        <w:keepLines/>
        <w:widowControl/>
        <w:numPr>
          <w:ilvl w:val="0"/>
          <w:numId w:val="6"/>
        </w:numPr>
        <w:bidi w:val="0"/>
        <w:spacing w:lineRule="auto" w:line="276"/>
        <w:ind w:hanging="357" w:start="357" w:end="0"/>
        <w:jc w:val="both"/>
        <w:rPr/>
      </w:pPr>
      <w:r>
        <w:rPr/>
        <w:t xml:space="preserve">Complaints which Involve Consideration of Paying Compensation, Including Making an Ex Gratia or Act of Grace Payment </w:t>
      </w:r>
    </w:p>
    <w:p>
      <w:pPr>
        <w:pStyle w:val="Normal"/>
        <w:bidi w:val="0"/>
        <w:spacing w:lineRule="auto" w:line="276" w:before="0" w:after="0"/>
        <w:ind w:hanging="0" w:start="0" w:end="0"/>
        <w:jc w:val="both"/>
        <w:rPr/>
      </w:pPr>
      <w:r>
        <w:rPr/>
        <w:t xml:space="preserve">Complaints which involve consideration of making a payment to the complainant, such as an ex gratia payment or an act of grace payment should be referred to the Practice Group Leader of the Practice Group which was involved in the case the subject of the complaint.  The Director’s Coordination Unit will play a coordination role as required.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 xml:space="preserve">The Practice Group Leader should consider whether particular legislation or schemes would apply, for example: </w:t>
      </w:r>
    </w:p>
    <w:p>
      <w:pPr>
        <w:pStyle w:val="ListParagraph"/>
        <w:widowControl/>
        <w:numPr>
          <w:ilvl w:val="0"/>
          <w:numId w:val="8"/>
        </w:numPr>
        <w:bidi w:val="0"/>
        <w:spacing w:lineRule="auto" w:line="276" w:before="0" w:after="0"/>
        <w:ind w:hanging="0" w:start="0" w:end="0"/>
        <w:contextualSpacing/>
        <w:jc w:val="both"/>
        <w:rPr/>
      </w:pPr>
      <w:r>
        <w:rPr/>
        <w:t xml:space="preserve">The </w:t>
      </w:r>
      <w:r>
        <w:rPr>
          <w:i/>
        </w:rPr>
        <w:t>Public Governance, Performance and Accountability Act</w:t>
      </w:r>
      <w:r>
        <w:rPr/>
        <w:t xml:space="preserve"> </w:t>
      </w:r>
      <w:r>
        <w:rPr>
          <w:i/>
        </w:rPr>
        <w:t xml:space="preserve">2013 </w:t>
      </w:r>
      <w:r>
        <w:rPr/>
        <w:t>(section 63 and 65);</w:t>
      </w:r>
    </w:p>
    <w:p>
      <w:pPr>
        <w:pStyle w:val="ListParagraph"/>
        <w:widowControl/>
        <w:numPr>
          <w:ilvl w:val="0"/>
          <w:numId w:val="9"/>
        </w:numPr>
        <w:bidi w:val="0"/>
        <w:spacing w:lineRule="auto" w:line="276" w:before="0" w:after="0"/>
        <w:ind w:hanging="0" w:start="0" w:end="0"/>
        <w:contextualSpacing/>
        <w:jc w:val="both"/>
        <w:rPr/>
      </w:pPr>
      <w:r>
        <w:rPr/>
        <w:t xml:space="preserve">The </w:t>
      </w:r>
      <w:r>
        <w:rPr>
          <w:i/>
        </w:rPr>
        <w:t>Compensation for Detriment Caused by Defective Administration</w:t>
      </w:r>
      <w:r>
        <w:rPr/>
        <w:t xml:space="preserve"> scheme. </w:t>
      </w:r>
    </w:p>
    <w:p>
      <w:pPr>
        <w:pStyle w:val="ListParagraph"/>
        <w:bidi w:val="0"/>
        <w:spacing w:lineRule="auto" w:line="276" w:before="0" w:after="0"/>
        <w:ind w:hanging="0" w:start="720" w:end="0"/>
        <w:contextualSpacing/>
        <w:jc w:val="both"/>
        <w:rPr/>
      </w:pPr>
      <w:r>
        <w:rPr/>
      </w:r>
    </w:p>
    <w:p>
      <w:pPr>
        <w:pStyle w:val="Heading1"/>
        <w:widowControl/>
        <w:numPr>
          <w:ilvl w:val="0"/>
          <w:numId w:val="6"/>
        </w:numPr>
        <w:bidi w:val="0"/>
        <w:spacing w:lineRule="auto" w:line="276" w:before="0" w:after="0"/>
        <w:ind w:hanging="357" w:start="357" w:end="0"/>
        <w:contextualSpacing/>
        <w:jc w:val="both"/>
        <w:rPr/>
      </w:pPr>
      <w:bookmarkStart w:id="22" w:name="_Toc525032176"/>
      <w:bookmarkStart w:id="23" w:name="_Toc215386684"/>
      <w:bookmarkStart w:id="24" w:name="_Toc527880374"/>
      <w:bookmarkStart w:id="25" w:name="_Toc527876704"/>
      <w:bookmarkStart w:id="26" w:name="_Toc527876188"/>
      <w:bookmarkStart w:id="27" w:name="_Toc527875672"/>
      <w:bookmarkStart w:id="28" w:name="_Toc527875156"/>
      <w:bookmarkStart w:id="29" w:name="_Toc527874124"/>
      <w:bookmarkStart w:id="30" w:name="_Toc527870512"/>
      <w:bookmarkStart w:id="31" w:name="_Toc527869480"/>
      <w:bookmarkStart w:id="32" w:name="_Toc527865053"/>
      <w:r>
        <w:rPr/>
        <w:tab/>
      </w:r>
      <w:bookmarkEnd w:id="22"/>
      <w:bookmarkEnd w:id="23"/>
      <w:bookmarkEnd w:id="24"/>
      <w:bookmarkEnd w:id="25"/>
      <w:bookmarkEnd w:id="26"/>
      <w:bookmarkEnd w:id="27"/>
      <w:bookmarkEnd w:id="28"/>
      <w:bookmarkEnd w:id="29"/>
      <w:bookmarkEnd w:id="30"/>
      <w:bookmarkEnd w:id="31"/>
      <w:bookmarkEnd w:id="32"/>
      <w:r>
        <w:rPr/>
        <w:t>Steps to the Complaint Process</w:t>
      </w:r>
    </w:p>
    <w:p>
      <w:pPr>
        <w:pStyle w:val="Normal"/>
        <w:bidi w:val="0"/>
        <w:spacing w:lineRule="auto" w:line="276" w:before="0" w:after="0"/>
        <w:ind w:hanging="0" w:start="0" w:end="0"/>
        <w:jc w:val="both"/>
        <w:rPr/>
      </w:pPr>
      <w:r>
        <w:rPr/>
        <w:t xml:space="preserve">The following steps are intended as a guide. There may be some complaints which require additional steps or do not require all the steps listed below. </w:t>
      </w:r>
    </w:p>
    <w:p>
      <w:pPr>
        <w:pStyle w:val="Normal"/>
        <w:bidi w:val="0"/>
        <w:spacing w:lineRule="auto" w:line="276" w:before="0" w:after="0"/>
        <w:ind w:hanging="0" w:start="0" w:end="0"/>
        <w:jc w:val="both"/>
        <w:rPr/>
      </w:pPr>
      <w:r>
        <w:rPr/>
      </w:r>
    </w:p>
    <w:p>
      <w:pPr>
        <w:pStyle w:val="Heading1"/>
        <w:bidi w:val="0"/>
        <w:spacing w:lineRule="auto" w:line="276"/>
        <w:ind w:hanging="0" w:start="0" w:end="0"/>
        <w:jc w:val="both"/>
        <w:rPr>
          <w:i/>
          <w:i/>
          <w:iCs/>
          <w:sz w:val="24"/>
          <w:szCs w:val="24"/>
        </w:rPr>
      </w:pPr>
      <w:r>
        <w:rPr>
          <w:i/>
          <w:iCs/>
          <w:sz w:val="24"/>
          <w:szCs w:val="24"/>
        </w:rPr>
        <w:t>Acknowledgment</w:t>
      </w:r>
    </w:p>
    <w:p>
      <w:pPr>
        <w:pStyle w:val="Normal"/>
        <w:bidi w:val="0"/>
        <w:spacing w:lineRule="auto" w:line="276" w:before="0" w:after="0"/>
        <w:ind w:hanging="0" w:start="0" w:end="0"/>
        <w:jc w:val="both"/>
        <w:rPr/>
      </w:pPr>
      <w:r>
        <w:rPr/>
        <w:t xml:space="preserve">A letter or reply email acknowledging receipt of the request should be sent as soon as practicable. </w:t>
      </w:r>
    </w:p>
    <w:p>
      <w:pPr>
        <w:pStyle w:val="Heading2"/>
        <w:bidi w:val="0"/>
        <w:spacing w:lineRule="auto" w:line="276" w:before="0" w:after="120"/>
        <w:ind w:hanging="0" w:start="0" w:end="0"/>
        <w:rPr/>
      </w:pPr>
      <w:r>
        <w:rPr/>
      </w:r>
    </w:p>
    <w:p>
      <w:pPr>
        <w:pStyle w:val="Heading2"/>
        <w:bidi w:val="0"/>
        <w:spacing w:lineRule="auto" w:line="276" w:before="0" w:after="0"/>
        <w:ind w:hanging="0" w:start="0" w:end="0"/>
        <w:rPr/>
      </w:pPr>
      <w:r>
        <w:rPr>
          <w:color w:val="947246"/>
        </w:rPr>
        <w:t>A</w:t>
      </w:r>
      <w:r>
        <w:rPr>
          <w:iCs/>
          <w:color w:val="947246"/>
          <w:sz w:val="24"/>
          <w:szCs w:val="24"/>
        </w:rPr>
        <w:t>ssessment</w:t>
      </w:r>
    </w:p>
    <w:p>
      <w:pPr>
        <w:pStyle w:val="Normal"/>
        <w:bidi w:val="0"/>
        <w:spacing w:lineRule="auto" w:line="276" w:before="0" w:after="0"/>
        <w:ind w:hanging="0" w:start="0" w:end="0"/>
        <w:jc w:val="both"/>
        <w:rPr/>
      </w:pPr>
      <w:r>
        <w:rPr/>
        <w:t xml:space="preserve">This step involves considering the possible responses to the complaint.  This may require clarifying the outcome the complainant is seeking.  Some complaints may need to be given priority, especially if there are time limits on some of the possible outcomes.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 xml:space="preserve">The case officer should also ensure the complaint has been made to the appropriate agency.  It may be that the complaint is more relevant to another agency.  If the complaint is more properly dealt with by another agency, the case officer should inform the complainant and refer them to the appropriate agency.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The complaint should be thoroughly investigated.  The level of investigation required will depend on the nature of the complaint.  File notes of conversations relevant to the assessment should be kept on file as should documents created as part of the assessment.</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Consideration should be given to whether the complaint needs to go to the Director for a decision.  This would usually not be the case.  If it does, a minute highlighting the issues for the Director’s attention should be prepared and provided to the Director’s Coordination Unit. The minute should set out the background, consideration of the issues raised in the complaint and any recommendation made by the Practice Group Leader.</w:t>
      </w:r>
    </w:p>
    <w:p>
      <w:pPr>
        <w:pStyle w:val="Normal"/>
        <w:bidi w:val="0"/>
        <w:spacing w:lineRule="auto" w:line="276" w:before="0" w:after="0"/>
        <w:ind w:hanging="0" w:start="0" w:end="0"/>
        <w:jc w:val="both"/>
        <w:rPr/>
      </w:pPr>
      <w:r>
        <w:rPr/>
      </w:r>
    </w:p>
    <w:p>
      <w:pPr>
        <w:pStyle w:val="Heading2"/>
        <w:bidi w:val="0"/>
        <w:spacing w:lineRule="auto" w:line="276" w:before="0" w:after="0"/>
        <w:ind w:hanging="0" w:start="0" w:end="0"/>
        <w:rPr/>
      </w:pPr>
      <w:r>
        <w:rPr>
          <w:iCs/>
          <w:color w:val="947246"/>
          <w:sz w:val="24"/>
          <w:szCs w:val="24"/>
        </w:rPr>
        <w:t>Response</w:t>
      </w:r>
    </w:p>
    <w:p>
      <w:pPr>
        <w:pStyle w:val="Normal"/>
        <w:bidi w:val="0"/>
        <w:spacing w:lineRule="auto" w:line="276" w:before="0" w:after="0"/>
        <w:ind w:hanging="0" w:start="0" w:end="0"/>
        <w:jc w:val="both"/>
        <w:rPr/>
      </w:pPr>
      <w:r>
        <w:rPr/>
        <w:t xml:space="preserve">The response needs to be in writing, setting out the complaint and the response. This will include reasons for the action taken by the CDPP. Where necessary the response may need to be translated. </w:t>
      </w:r>
    </w:p>
    <w:p>
      <w:pPr>
        <w:pStyle w:val="Normal"/>
        <w:bidi w:val="0"/>
        <w:spacing w:lineRule="auto" w:line="276" w:before="0" w:after="0"/>
        <w:ind w:hanging="0" w:start="0" w:end="0"/>
        <w:jc w:val="both"/>
        <w:rPr/>
      </w:pPr>
      <w:r>
        <w:rPr/>
      </w:r>
    </w:p>
    <w:p>
      <w:pPr>
        <w:pStyle w:val="Normal"/>
        <w:bidi w:val="0"/>
        <w:spacing w:lineRule="auto" w:line="276"/>
        <w:ind w:hanging="0" w:start="0" w:end="0"/>
        <w:rPr>
          <w:b/>
          <w:i/>
          <w:i/>
          <w:iCs/>
          <w:color w:val="947246"/>
          <w:spacing w:val="2"/>
          <w:sz w:val="24"/>
          <w:szCs w:val="24"/>
          <w:lang w:val="en-US"/>
        </w:rPr>
      </w:pPr>
      <w:r>
        <w:rPr>
          <w:b/>
          <w:i/>
          <w:iCs/>
          <w:color w:val="947246"/>
          <w:spacing w:val="2"/>
          <w:sz w:val="24"/>
          <w:szCs w:val="24"/>
          <w:lang w:val="en-US"/>
        </w:rPr>
      </w:r>
      <w:r>
        <w:br w:type="page"/>
      </w:r>
    </w:p>
    <w:p>
      <w:pPr>
        <w:pStyle w:val="Heading1"/>
        <w:bidi w:val="0"/>
        <w:spacing w:lineRule="auto" w:line="276" w:before="0" w:after="0"/>
        <w:ind w:hanging="0" w:start="57" w:end="0"/>
        <w:jc w:val="both"/>
        <w:rPr>
          <w:i/>
          <w:i/>
          <w:iCs/>
          <w:sz w:val="24"/>
          <w:szCs w:val="24"/>
        </w:rPr>
      </w:pPr>
      <w:r>
        <w:rPr>
          <w:i/>
          <w:iCs/>
          <w:sz w:val="24"/>
          <w:szCs w:val="24"/>
        </w:rPr>
        <w:t>Reflection on CDPP policies or practices</w:t>
      </w:r>
    </w:p>
    <w:p>
      <w:pPr>
        <w:pStyle w:val="Normal"/>
        <w:bidi w:val="0"/>
        <w:spacing w:lineRule="auto" w:line="276" w:before="0" w:after="0"/>
        <w:ind w:hanging="0" w:start="0" w:end="0"/>
        <w:jc w:val="both"/>
        <w:rPr/>
      </w:pPr>
      <w:r>
        <w:rPr/>
        <w:t xml:space="preserve">If the complaint identifies a systemic issue where consideration of changes to national practice or policy is needed, the Practice Group Leader should consider possible changes to the Practice Group’s practice or policies. If the complaint identifies a systemic issue where consideration of changes to national practice or policy is needed and it does not fall within any particular Practice Group, then a report should be sent to the Director’s Coordination Unit.  </w:t>
      </w:r>
    </w:p>
    <w:p>
      <w:pPr>
        <w:pStyle w:val="Normal"/>
        <w:bidi w:val="0"/>
        <w:spacing w:lineRule="auto" w:line="276" w:before="0" w:after="0"/>
        <w:ind w:hanging="0" w:start="0" w:end="0"/>
        <w:jc w:val="both"/>
        <w:rPr/>
      </w:pPr>
      <w:r>
        <w:rPr/>
      </w:r>
    </w:p>
    <w:p>
      <w:pPr>
        <w:pStyle w:val="Heading1"/>
        <w:keepNext w:val="true"/>
        <w:keepLines/>
        <w:widowControl/>
        <w:numPr>
          <w:ilvl w:val="0"/>
          <w:numId w:val="6"/>
        </w:numPr>
        <w:bidi w:val="0"/>
        <w:spacing w:lineRule="auto" w:line="276"/>
        <w:ind w:hanging="357" w:start="357" w:end="0"/>
        <w:jc w:val="both"/>
        <w:rPr/>
      </w:pPr>
      <w:r>
        <w:rPr/>
        <w:t>Confidentiality of Complaints</w:t>
      </w:r>
    </w:p>
    <w:p>
      <w:pPr>
        <w:pStyle w:val="Normal"/>
        <w:bidi w:val="0"/>
        <w:spacing w:lineRule="auto" w:line="276" w:before="0" w:after="0"/>
        <w:ind w:hanging="0" w:start="0" w:end="0"/>
        <w:jc w:val="both"/>
        <w:rPr/>
      </w:pPr>
      <w:r>
        <w:rPr/>
        <w:t xml:space="preserve">Regard must be had to the sensitivity of the complaint.  Consideration of the material and allegations made will determine the level of confidentially required.  Complaints dealing with allegations against staff of the CDPP, particularly in a personal capacity, should be handled with care to ensure the privacy of the individual is respected. </w:t>
      </w:r>
    </w:p>
    <w:p>
      <w:pPr>
        <w:pStyle w:val="Normal"/>
        <w:bidi w:val="0"/>
        <w:spacing w:lineRule="auto" w:line="276" w:before="0" w:after="0"/>
        <w:ind w:hanging="0" w:start="0" w:end="0"/>
        <w:rPr>
          <w:rFonts w:cs="Calibri"/>
        </w:rPr>
      </w:pPr>
      <w:r>
        <w:rPr>
          <w:rFonts w:cs="Calibri"/>
        </w:rPr>
      </w:r>
    </w:p>
    <w:p>
      <w:pPr>
        <w:pStyle w:val="Normal"/>
        <w:bidi w:val="0"/>
        <w:spacing w:lineRule="auto" w:line="276" w:before="0" w:after="0"/>
        <w:ind w:hanging="0" w:start="0" w:end="0"/>
        <w:rPr/>
      </w:pPr>
      <w:r>
        <w:rPr/>
      </w:r>
    </w:p>
    <w:p>
      <w:pPr>
        <w:pStyle w:val="Normal"/>
        <w:bidi w:val="0"/>
        <w:spacing w:lineRule="auto" w:line="276" w:before="0" w:after="200"/>
        <w:ind w:hanging="0" w:start="0" w:end="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Times New Roman">
    <w:charset w:val="01"/>
    <w:family w:val="roman"/>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15">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8">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17">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16">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rFonts w:cs="Times New Roman"/>
      </w:rPr>
    </w:lvl>
    <w:lvl w:ilvl="1">
      <w:start w:val="1"/>
      <w:numFmt w:val="lowerLetter"/>
      <w:lvlText w:val="%2."/>
      <w:lvlJc w:val="start"/>
      <w:pPr>
        <w:tabs>
          <w:tab w:val="num" w:pos="0"/>
        </w:tabs>
        <w:ind w:start="1080" w:hanging="360"/>
      </w:pPr>
      <w:rPr>
        <w:rFonts w:cs="Times New Roman"/>
      </w:rPr>
    </w:lvl>
    <w:lvl w:ilvl="2">
      <w:start w:val="1"/>
      <w:numFmt w:val="lowerRoman"/>
      <w:lvlText w:val="%3."/>
      <w:lvlJc w:val="end"/>
      <w:pPr>
        <w:tabs>
          <w:tab w:val="num" w:pos="0"/>
        </w:tabs>
        <w:ind w:start="1800" w:hanging="180"/>
      </w:pPr>
      <w:rPr>
        <w:rFonts w:cs="Times New Roman"/>
      </w:rPr>
    </w:lvl>
    <w:lvl w:ilvl="3">
      <w:start w:val="1"/>
      <w:numFmt w:val="decimal"/>
      <w:lvlText w:val="%4."/>
      <w:lvlJc w:val="start"/>
      <w:pPr>
        <w:tabs>
          <w:tab w:val="num" w:pos="0"/>
        </w:tabs>
        <w:ind w:start="2520" w:hanging="360"/>
      </w:pPr>
      <w:rPr>
        <w:rFonts w:cs="Times New Roman"/>
      </w:rPr>
    </w:lvl>
    <w:lvl w:ilvl="4">
      <w:start w:val="1"/>
      <w:numFmt w:val="lowerLetter"/>
      <w:lvlText w:val="%5."/>
      <w:lvlJc w:val="start"/>
      <w:pPr>
        <w:tabs>
          <w:tab w:val="num" w:pos="0"/>
        </w:tabs>
        <w:ind w:start="3240" w:hanging="360"/>
      </w:pPr>
      <w:rPr>
        <w:rFonts w:cs="Times New Roman"/>
      </w:rPr>
    </w:lvl>
    <w:lvl w:ilvl="5">
      <w:start w:val="1"/>
      <w:numFmt w:val="lowerRoman"/>
      <w:lvlText w:val="%6."/>
      <w:lvlJc w:val="end"/>
      <w:pPr>
        <w:tabs>
          <w:tab w:val="num" w:pos="0"/>
        </w:tabs>
        <w:ind w:start="3960" w:hanging="180"/>
      </w:pPr>
      <w:rPr>
        <w:rFonts w:cs="Times New Roman"/>
      </w:rPr>
    </w:lvl>
    <w:lvl w:ilvl="6">
      <w:start w:val="1"/>
      <w:numFmt w:val="decimal"/>
      <w:lvlText w:val="%7."/>
      <w:lvlJc w:val="start"/>
      <w:pPr>
        <w:tabs>
          <w:tab w:val="num" w:pos="0"/>
        </w:tabs>
        <w:ind w:start="4680" w:hanging="360"/>
      </w:pPr>
      <w:rPr>
        <w:rFonts w:cs="Times New Roman"/>
      </w:rPr>
    </w:lvl>
    <w:lvl w:ilvl="7">
      <w:start w:val="1"/>
      <w:numFmt w:val="lowerLetter"/>
      <w:lvlText w:val="%8."/>
      <w:lvlJc w:val="start"/>
      <w:pPr>
        <w:tabs>
          <w:tab w:val="num" w:pos="0"/>
        </w:tabs>
        <w:ind w:start="5400" w:hanging="360"/>
      </w:pPr>
      <w:rPr>
        <w:rFonts w:cs="Times New Roman"/>
      </w:rPr>
    </w:lvl>
    <w:lvl w:ilvl="8">
      <w:start w:val="1"/>
      <w:numFmt w:val="lowerRoman"/>
      <w:lvlText w:val="%9."/>
      <w:lvlJc w:val="end"/>
      <w:pPr>
        <w:tabs>
          <w:tab w:val="num" w:pos="0"/>
        </w:tabs>
        <w:ind w:start="6120" w:hanging="180"/>
      </w:pPr>
      <w:rPr>
        <w:rFonts w:cs="Times New Roman"/>
      </w:rPr>
    </w:lvl>
  </w:abstractNum>
  <w:abstractNum w:abstractNumId="2">
    <w:lvl w:ilvl="0">
      <w:start w:val="1"/>
      <w:numFmt w:val="bullet"/>
      <w:lvlText w:val=""/>
      <w:lvlJc w:val="start"/>
      <w:pPr>
        <w:tabs>
          <w:tab w:val="num" w:pos="0"/>
        </w:tabs>
        <w:ind w:start="1080" w:hanging="360"/>
      </w:pPr>
      <w:rPr>
        <w:rFonts w:ascii="Symbol" w:hAnsi="Symbol" w:cs="Symbol" w:hint="default"/>
      </w:rPr>
    </w:lvl>
    <w:lvl w:ilvl="1">
      <w:start w:val="1"/>
      <w:numFmt w:val="bullet"/>
      <w:lvlText w:val=""/>
      <w:lvlJc w:val="start"/>
      <w:pPr>
        <w:tabs>
          <w:tab w:val="num" w:pos="0"/>
        </w:tabs>
        <w:ind w:start="1800" w:hanging="360"/>
      </w:pPr>
      <w:rPr>
        <w:rFonts w:ascii="Symbol" w:hAnsi="Symbol" w:cs="Symbol" w:hint="default"/>
      </w:rPr>
    </w:lvl>
    <w:lvl w:ilvl="2">
      <w:start w:val="0"/>
      <w:numFmt w:val="bullet"/>
      <w:lvlText w:val="•"/>
      <w:lvlJc w:val="start"/>
      <w:pPr>
        <w:tabs>
          <w:tab w:val="num" w:pos="0"/>
        </w:tabs>
        <w:ind w:start="2520" w:hanging="360"/>
      </w:pPr>
      <w:rPr>
        <w:rFonts w:ascii="Times New Roman" w:hAnsi="Times New Roman" w:cs="Times New Roman" w:hint="default"/>
        <w:i/>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1080" w:hanging="360"/>
      </w:pPr>
      <w:rPr>
        <w:rFonts w:ascii="Symbol" w:hAnsi="Symbol" w:cs="Symbol" w:hint="default"/>
      </w:rPr>
    </w:lvl>
    <w:lvl w:ilvl="1">
      <w:start w:val="1"/>
      <w:numFmt w:val="bullet"/>
      <w:lvlText w:val=""/>
      <w:lvlJc w:val="start"/>
      <w:pPr>
        <w:tabs>
          <w:tab w:val="num" w:pos="0"/>
        </w:tabs>
        <w:ind w:start="1800" w:hanging="360"/>
      </w:pPr>
      <w:rPr>
        <w:rFonts w:ascii="Symbol" w:hAnsi="Symbol" w:cs="Symbol" w:hint="default"/>
      </w:rPr>
    </w:lvl>
    <w:lvl w:ilvl="2">
      <w:start w:val="0"/>
      <w:numFmt w:val="bullet"/>
      <w:lvlText w:val="•"/>
      <w:lvlJc w:val="start"/>
      <w:pPr>
        <w:tabs>
          <w:tab w:val="num" w:pos="0"/>
        </w:tabs>
        <w:ind w:start="2520" w:hanging="360"/>
      </w:pPr>
      <w:rPr>
        <w:rFonts w:ascii="Times New Roman" w:hAnsi="Times New Roman" w:cs="Times New Roman" w:hint="default"/>
        <w:i/>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5">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6">
    <w:lvl w:ilvl="0">
      <w:start w:val="1"/>
      <w:numFmt w:val="decimal"/>
      <w:lvlText w:val="%1."/>
      <w:lvlJc w:val="start"/>
      <w:pPr>
        <w:tabs>
          <w:tab w:val="num" w:pos="0"/>
        </w:tabs>
        <w:ind w:start="360" w:hanging="360"/>
      </w:pPr>
      <w:rPr>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num>
  <w:num w:numId="9">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Arial"/>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Times New Roman" w:cs="Times New Roman"/>
      <w:caps/>
      <w:color w:val="947246"/>
      <w:spacing w:val="5"/>
      <w:kern w:val="2"/>
      <w:sz w:val="52"/>
      <w:szCs w:val="52"/>
      <w:lang w:val="en-US" w:eastAsia="en-AU"/>
    </w:rPr>
  </w:style>
  <w:style w:type="character" w:styleId="annotationreference">
    <w:name w:val="annotation reference"/>
    <w:basedOn w:val="DefaultParagraphFont"/>
    <w:qFormat/>
    <w:rPr>
      <w:rFonts w:ascii="Times New Roman" w:hAnsi="Times New Roman" w:cs="Times New Roman"/>
      <w:color w:val="000000"/>
      <w:sz w:val="16"/>
      <w:szCs w:val="24"/>
    </w:rPr>
  </w:style>
  <w:style w:type="character" w:styleId="CommentTextChar">
    <w:name w:val="Comment Text Char"/>
    <w:basedOn w:val="DefaultParagraphFont"/>
    <w:qFormat/>
    <w:rPr>
      <w:rFonts w:cs="Angsana New"/>
      <w:color w:val="000000"/>
      <w:sz w:val="20"/>
      <w:szCs w:val="20"/>
      <w:lang w:eastAsia="en-AU" w:bidi="th-TH"/>
    </w:rPr>
  </w:style>
  <w:style w:type="character" w:styleId="CommentTextChar1">
    <w:name w:val="Comment Text Char1"/>
    <w:basedOn w:val="DefaultParagraphFont"/>
    <w:qFormat/>
    <w:rPr>
      <w:rFonts w:ascii="Times New Roman" w:hAnsi="Times New Roman"/>
      <w:sz w:val="20"/>
      <w:szCs w:val="20"/>
    </w:rPr>
  </w:style>
  <w:style w:type="character" w:styleId="CommentTextChar12">
    <w:name w:val="Comment Text Char12"/>
    <w:basedOn w:val="DefaultParagraphFont"/>
    <w:qFormat/>
    <w:rPr>
      <w:rFonts w:ascii="Times New Roman" w:hAnsi="Times New Roman"/>
      <w:sz w:val="20"/>
      <w:szCs w:val="20"/>
    </w:rPr>
  </w:style>
  <w:style w:type="character" w:styleId="CommentTextChar11">
    <w:name w:val="Comment Text Char11"/>
    <w:basedOn w:val="DefaultParagraphFont"/>
    <w:qFormat/>
    <w:rPr>
      <w:rFonts w:ascii="Times New Roman" w:hAnsi="Times New Roman"/>
      <w:sz w:val="20"/>
      <w:szCs w:val="20"/>
    </w:rPr>
  </w:style>
  <w:style w:type="character" w:styleId="CommentSubjectChar">
    <w:name w:val="Comment Subject Char"/>
    <w:basedOn w:val="CommentTextChar"/>
    <w:qFormat/>
    <w:rPr>
      <w:rFonts w:cs="Angsana New"/>
      <w:b/>
      <w:bCs/>
      <w:color w:val="000000"/>
      <w:sz w:val="20"/>
      <w:szCs w:val="20"/>
      <w:lang w:eastAsia="en-AU" w:bidi="th-TH"/>
    </w:rPr>
  </w:style>
  <w:style w:type="character" w:styleId="CommentSubjectChar1">
    <w:name w:val="Comment Subject Char1"/>
    <w:basedOn w:val="CommentTextChar"/>
    <w:qFormat/>
    <w:rPr>
      <w:b/>
      <w:bCs/>
      <w:sz w:val="20"/>
      <w:szCs w:val="20"/>
      <w:lang w:eastAsia="en-AU" w:bidi="th-TH"/>
    </w:rPr>
  </w:style>
  <w:style w:type="character" w:styleId="CommentSubjectChar12">
    <w:name w:val="Comment Subject Char12"/>
    <w:basedOn w:val="CommentTextChar"/>
    <w:qFormat/>
    <w:rPr>
      <w:b/>
      <w:bCs/>
      <w:sz w:val="20"/>
      <w:szCs w:val="20"/>
      <w:lang w:eastAsia="en-AU" w:bidi="th-TH"/>
    </w:rPr>
  </w:style>
  <w:style w:type="character" w:styleId="CommentSubjectChar11">
    <w:name w:val="Comment Subject Char11"/>
    <w:basedOn w:val="CommentTextChar"/>
    <w:qFormat/>
    <w:rPr>
      <w:b/>
      <w:bCs/>
      <w:sz w:val="20"/>
      <w:szCs w:val="20"/>
      <w:lang w:eastAsia="en-AU" w:bidi="th-TH"/>
    </w:rPr>
  </w:style>
  <w:style w:type="character" w:styleId="Hyperlink">
    <w:name w:val="Hyperlink"/>
    <w:basedOn w:val="DefaultParagraphFont"/>
    <w:rPr>
      <w:rFonts w:ascii="Times New Roman" w:hAnsi="Times New Roman" w:cs="Times New Roman"/>
      <w:color w:val="0000FF"/>
      <w:sz w:val="24"/>
      <w:szCs w:val="24"/>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Times New Roma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AnnotationText">
    <w:name w:val="Annotation Text"/>
    <w:basedOn w:val="Normal"/>
    <w:pPr>
      <w:widowControl/>
      <w:spacing w:lineRule="auto" w:line="276" w:before="0" w:after="200"/>
      <w:jc w:val="start"/>
      <w:textAlignment w:val="auto"/>
    </w:pPr>
    <w:rPr>
      <w:rFonts w:ascii="Calibri" w:hAnsi="Calibri" w:cs="Angsana New"/>
      <w:sz w:val="20"/>
      <w:szCs w:val="20"/>
      <w:lang w:val="en-AU" w:eastAsia="en-US" w:bidi="th-TH"/>
    </w:rPr>
  </w:style>
  <w:style w:type="paragraph" w:styleId="annotationsubject">
    <w:name w:val="annotation subject"/>
    <w:basedOn w:val="AnnotationText"/>
    <w:next w:val="AnnotationText"/>
    <w:qFormat/>
    <w:pPr>
      <w:widowControl/>
      <w:spacing w:lineRule="auto" w:line="276" w:before="0" w:after="200"/>
      <w:jc w:val="start"/>
      <w:textAlignment w:val="auto"/>
    </w:pPr>
    <w:rPr>
      <w:rFonts w:ascii="Calibri" w:hAnsi="Calibri" w:cs="Angsana New"/>
      <w:b/>
      <w:bCs/>
      <w:sz w:val="20"/>
      <w:szCs w:val="20"/>
      <w:lang w:val="en-AU" w:eastAsia="en-US" w:bidi="th-TH"/>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mbudsman.gov.au/" TargetMode="External"/><Relationship Id="rId3" Type="http://schemas.openxmlformats.org/officeDocument/2006/relationships/hyperlink" Target="http://www.ombudsman.gov.a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1683</Words>
  <Characters>8817</Characters>
  <CharactersWithSpaces>10464</CharactersWithSpaces>
  <Paragraphs>90</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2014-08-18T10:54:00Z</dcterms:created>
  <dc:creator>Commonwealth DPP</dc:creator>
  <dc:description/>
  <cp:keywords>UNCLASSIFIED</cp:keywords>
  <dc:language>en-AU</dc:language>
  <cp:lastModifiedBy/>
  <cp:lastPrinted>2014-07-18T11:52:00Z</cp:lastPrinted>
  <dcterms:modified xsi:type="dcterms:W3CDTF">2014-08-25T09:09:00Z</dcterms:modified>
  <cp:revision>7</cp:revision>
  <dc:subject/>
  <dc:title>ARABIC - Complaints policy - سياسة الشكاوى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18ACD0C720518F4A4023D9B89A608B8FFA07E246</vt:lpwstr>
  </property>
  <property fmtid="{D5CDD505-2E9C-101B-9397-08002B2CF9AE}" pid="5" name="PM_Hash_Salt">
    <vt:lpwstr>A0767F6DBC6ECA97782ED91038D0C396</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