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77FA" w14:textId="193B6379" w:rsidR="00DF11DB" w:rsidRPr="002268D1" w:rsidRDefault="004574FA" w:rsidP="008B23B2">
      <w:pPr>
        <w:pStyle w:val="Title"/>
      </w:pPr>
      <w:r w:rsidRPr="002268D1">
        <w:t xml:space="preserve">Determining </w:t>
      </w:r>
      <w:r>
        <w:t>t</w:t>
      </w:r>
      <w:r w:rsidRPr="002268D1">
        <w:t>he Appropriate Jurisdiction</w:t>
      </w:r>
    </w:p>
    <w:p w14:paraId="40F388BD" w14:textId="2F7A558B" w:rsidR="002B62F1" w:rsidRDefault="00B93489" w:rsidP="00DF11DB">
      <w:r>
        <w:t xml:space="preserve">Last Update: </w:t>
      </w:r>
      <w:r w:rsidR="009747CB">
        <w:t>May</w:t>
      </w:r>
      <w:r w:rsidR="00B56B82">
        <w:t xml:space="preserve"> 2024</w:t>
      </w:r>
      <w:r w:rsidR="008C70C9">
        <w:rPr>
          <w:rStyle w:val="FootnoteReference"/>
        </w:rPr>
        <w:footnoteReference w:id="2"/>
      </w:r>
    </w:p>
    <w:bookmarkStart w:id="0" w:name="_Toc163070967" w:displacedByCustomXml="next"/>
    <w:sdt>
      <w:sdtPr>
        <w:rPr>
          <w:rFonts w:asciiTheme="minorHAnsi" w:eastAsiaTheme="minorHAnsi" w:hAnsiTheme="minorHAnsi" w:cstheme="minorBidi"/>
          <w:b w:val="0"/>
          <w:caps w:val="0"/>
          <w:color w:val="auto"/>
          <w:szCs w:val="22"/>
          <w:lang w:val="en-AU"/>
        </w:rPr>
        <w:id w:val="-554239976"/>
        <w:docPartObj>
          <w:docPartGallery w:val="Table of Contents"/>
          <w:docPartUnique/>
        </w:docPartObj>
      </w:sdtPr>
      <w:sdtEndPr>
        <w:rPr>
          <w:bCs/>
          <w:noProof/>
        </w:rPr>
      </w:sdtEndPr>
      <w:sdtContent>
        <w:p w14:paraId="430F023D" w14:textId="2E2D920D" w:rsidR="00D75EEF" w:rsidRDefault="00D75EEF">
          <w:pPr>
            <w:pStyle w:val="TOCHeading"/>
          </w:pPr>
          <w:r>
            <w:t>Contents</w:t>
          </w:r>
        </w:p>
        <w:p w14:paraId="1195E55F" w14:textId="4FD0603D" w:rsidR="001747B6" w:rsidRDefault="00D75EEF">
          <w:pPr>
            <w:pStyle w:val="TOC1"/>
            <w:rPr>
              <w:rFonts w:asciiTheme="minorHAnsi" w:eastAsiaTheme="minorEastAsia" w:hAnsiTheme="minorHAnsi" w:cstheme="minorBidi"/>
              <w:b w:val="0"/>
              <w:bCs w:val="0"/>
              <w:caps w:val="0"/>
              <w:noProof/>
              <w:kern w:val="2"/>
              <w:sz w:val="22"/>
              <w:szCs w:val="22"/>
              <w:lang w:eastAsia="en-AU"/>
              <w14:ligatures w14:val="standardContextual"/>
            </w:rPr>
          </w:pPr>
          <w:r>
            <w:fldChar w:fldCharType="begin"/>
          </w:r>
          <w:r>
            <w:instrText xml:space="preserve"> TOC \o "1-3" \h \z \u </w:instrText>
          </w:r>
          <w:r>
            <w:fldChar w:fldCharType="separate"/>
          </w:r>
          <w:hyperlink w:anchor="_Toc167362840" w:history="1">
            <w:r w:rsidR="001747B6" w:rsidRPr="00DE6792">
              <w:rPr>
                <w:rStyle w:val="Hyperlink"/>
                <w:noProof/>
              </w:rPr>
              <w:t>A.</w:t>
            </w:r>
            <w:r w:rsidR="001747B6">
              <w:rPr>
                <w:rFonts w:asciiTheme="minorHAnsi" w:eastAsiaTheme="minorEastAsia" w:hAnsiTheme="minorHAnsi" w:cstheme="minorBidi"/>
                <w:b w:val="0"/>
                <w:bCs w:val="0"/>
                <w:caps w:val="0"/>
                <w:noProof/>
                <w:kern w:val="2"/>
                <w:sz w:val="22"/>
                <w:szCs w:val="22"/>
                <w:lang w:eastAsia="en-AU"/>
                <w14:ligatures w14:val="standardContextual"/>
              </w:rPr>
              <w:tab/>
            </w:r>
            <w:r w:rsidR="001747B6" w:rsidRPr="00DE6792">
              <w:rPr>
                <w:rStyle w:val="Hyperlink"/>
                <w:noProof/>
              </w:rPr>
              <w:t>Overview</w:t>
            </w:r>
            <w:r w:rsidR="001747B6">
              <w:rPr>
                <w:noProof/>
                <w:webHidden/>
              </w:rPr>
              <w:tab/>
            </w:r>
            <w:r w:rsidR="001747B6">
              <w:rPr>
                <w:noProof/>
                <w:webHidden/>
              </w:rPr>
              <w:fldChar w:fldCharType="begin"/>
            </w:r>
            <w:r w:rsidR="001747B6">
              <w:rPr>
                <w:noProof/>
                <w:webHidden/>
              </w:rPr>
              <w:instrText xml:space="preserve"> PAGEREF _Toc167362840 \h </w:instrText>
            </w:r>
            <w:r w:rsidR="001747B6">
              <w:rPr>
                <w:noProof/>
                <w:webHidden/>
              </w:rPr>
            </w:r>
            <w:r w:rsidR="001747B6">
              <w:rPr>
                <w:noProof/>
                <w:webHidden/>
              </w:rPr>
              <w:fldChar w:fldCharType="separate"/>
            </w:r>
            <w:r w:rsidR="001747B6">
              <w:rPr>
                <w:noProof/>
                <w:webHidden/>
              </w:rPr>
              <w:t>1</w:t>
            </w:r>
            <w:r w:rsidR="001747B6">
              <w:rPr>
                <w:noProof/>
                <w:webHidden/>
              </w:rPr>
              <w:fldChar w:fldCharType="end"/>
            </w:r>
          </w:hyperlink>
        </w:p>
        <w:p w14:paraId="3E8D1CA4" w14:textId="13E2871F" w:rsidR="001747B6" w:rsidRDefault="00900F7A">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67362841" w:history="1">
            <w:r w:rsidR="001747B6" w:rsidRPr="00DE6792">
              <w:rPr>
                <w:rStyle w:val="Hyperlink"/>
                <w:noProof/>
              </w:rPr>
              <w:t>B.</w:t>
            </w:r>
            <w:r w:rsidR="001747B6">
              <w:rPr>
                <w:rFonts w:asciiTheme="minorHAnsi" w:eastAsiaTheme="minorEastAsia" w:hAnsiTheme="minorHAnsi" w:cstheme="minorBidi"/>
                <w:b w:val="0"/>
                <w:bCs w:val="0"/>
                <w:caps w:val="0"/>
                <w:noProof/>
                <w:kern w:val="2"/>
                <w:sz w:val="22"/>
                <w:szCs w:val="22"/>
                <w:lang w:eastAsia="en-AU"/>
                <w14:ligatures w14:val="standardContextual"/>
              </w:rPr>
              <w:tab/>
            </w:r>
            <w:r w:rsidR="001747B6" w:rsidRPr="00DE6792">
              <w:rPr>
                <w:rStyle w:val="Hyperlink"/>
                <w:noProof/>
              </w:rPr>
              <w:t>Summary Matters</w:t>
            </w:r>
            <w:r w:rsidR="001747B6">
              <w:rPr>
                <w:noProof/>
                <w:webHidden/>
              </w:rPr>
              <w:tab/>
            </w:r>
            <w:r w:rsidR="001747B6">
              <w:rPr>
                <w:noProof/>
                <w:webHidden/>
              </w:rPr>
              <w:fldChar w:fldCharType="begin"/>
            </w:r>
            <w:r w:rsidR="001747B6">
              <w:rPr>
                <w:noProof/>
                <w:webHidden/>
              </w:rPr>
              <w:instrText xml:space="preserve"> PAGEREF _Toc167362841 \h </w:instrText>
            </w:r>
            <w:r w:rsidR="001747B6">
              <w:rPr>
                <w:noProof/>
                <w:webHidden/>
              </w:rPr>
            </w:r>
            <w:r w:rsidR="001747B6">
              <w:rPr>
                <w:noProof/>
                <w:webHidden/>
              </w:rPr>
              <w:fldChar w:fldCharType="separate"/>
            </w:r>
            <w:r w:rsidR="001747B6">
              <w:rPr>
                <w:noProof/>
                <w:webHidden/>
              </w:rPr>
              <w:t>2</w:t>
            </w:r>
            <w:r w:rsidR="001747B6">
              <w:rPr>
                <w:noProof/>
                <w:webHidden/>
              </w:rPr>
              <w:fldChar w:fldCharType="end"/>
            </w:r>
          </w:hyperlink>
        </w:p>
        <w:p w14:paraId="4690A315" w14:textId="07DC3590" w:rsidR="001747B6" w:rsidRDefault="00900F7A">
          <w:pPr>
            <w:pStyle w:val="TOC2"/>
            <w:tabs>
              <w:tab w:val="right" w:pos="9628"/>
            </w:tabs>
            <w:rPr>
              <w:rFonts w:eastAsiaTheme="minorEastAsia" w:cstheme="minorBidi"/>
              <w:b w:val="0"/>
              <w:bCs w:val="0"/>
              <w:noProof/>
              <w:kern w:val="2"/>
              <w:sz w:val="22"/>
              <w:szCs w:val="22"/>
              <w:lang w:eastAsia="en-AU"/>
              <w14:ligatures w14:val="standardContextual"/>
            </w:rPr>
          </w:pPr>
          <w:hyperlink w:anchor="_Toc167362842" w:history="1">
            <w:r w:rsidR="001747B6" w:rsidRPr="00DE6792">
              <w:rPr>
                <w:rStyle w:val="Hyperlink"/>
                <w:noProof/>
              </w:rPr>
              <w:t>Transfer before charges have been served</w:t>
            </w:r>
            <w:r w:rsidR="001747B6">
              <w:rPr>
                <w:noProof/>
                <w:webHidden/>
              </w:rPr>
              <w:tab/>
            </w:r>
            <w:r w:rsidR="001747B6">
              <w:rPr>
                <w:noProof/>
                <w:webHidden/>
              </w:rPr>
              <w:fldChar w:fldCharType="begin"/>
            </w:r>
            <w:r w:rsidR="001747B6">
              <w:rPr>
                <w:noProof/>
                <w:webHidden/>
              </w:rPr>
              <w:instrText xml:space="preserve"> PAGEREF _Toc167362842 \h </w:instrText>
            </w:r>
            <w:r w:rsidR="001747B6">
              <w:rPr>
                <w:noProof/>
                <w:webHidden/>
              </w:rPr>
            </w:r>
            <w:r w:rsidR="001747B6">
              <w:rPr>
                <w:noProof/>
                <w:webHidden/>
              </w:rPr>
              <w:fldChar w:fldCharType="separate"/>
            </w:r>
            <w:r w:rsidR="001747B6">
              <w:rPr>
                <w:noProof/>
                <w:webHidden/>
              </w:rPr>
              <w:t>2</w:t>
            </w:r>
            <w:r w:rsidR="001747B6">
              <w:rPr>
                <w:noProof/>
                <w:webHidden/>
              </w:rPr>
              <w:fldChar w:fldCharType="end"/>
            </w:r>
          </w:hyperlink>
        </w:p>
        <w:p w14:paraId="35CD3EDC" w14:textId="7F962944" w:rsidR="001747B6" w:rsidRDefault="00900F7A">
          <w:pPr>
            <w:pStyle w:val="TOC2"/>
            <w:tabs>
              <w:tab w:val="right" w:pos="9628"/>
            </w:tabs>
            <w:rPr>
              <w:rFonts w:eastAsiaTheme="minorEastAsia" w:cstheme="minorBidi"/>
              <w:b w:val="0"/>
              <w:bCs w:val="0"/>
              <w:noProof/>
              <w:kern w:val="2"/>
              <w:sz w:val="22"/>
              <w:szCs w:val="22"/>
              <w:lang w:eastAsia="en-AU"/>
              <w14:ligatures w14:val="standardContextual"/>
            </w:rPr>
          </w:pPr>
          <w:hyperlink w:anchor="_Toc167362843" w:history="1">
            <w:r w:rsidR="001747B6" w:rsidRPr="00DE6792">
              <w:rPr>
                <w:rStyle w:val="Hyperlink"/>
                <w:noProof/>
              </w:rPr>
              <w:t>Transfer after charges have been served</w:t>
            </w:r>
            <w:r w:rsidR="001747B6">
              <w:rPr>
                <w:noProof/>
                <w:webHidden/>
              </w:rPr>
              <w:tab/>
            </w:r>
            <w:r w:rsidR="001747B6">
              <w:rPr>
                <w:noProof/>
                <w:webHidden/>
              </w:rPr>
              <w:fldChar w:fldCharType="begin"/>
            </w:r>
            <w:r w:rsidR="001747B6">
              <w:rPr>
                <w:noProof/>
                <w:webHidden/>
              </w:rPr>
              <w:instrText xml:space="preserve"> PAGEREF _Toc167362843 \h </w:instrText>
            </w:r>
            <w:r w:rsidR="001747B6">
              <w:rPr>
                <w:noProof/>
                <w:webHidden/>
              </w:rPr>
            </w:r>
            <w:r w:rsidR="001747B6">
              <w:rPr>
                <w:noProof/>
                <w:webHidden/>
              </w:rPr>
              <w:fldChar w:fldCharType="separate"/>
            </w:r>
            <w:r w:rsidR="001747B6">
              <w:rPr>
                <w:noProof/>
                <w:webHidden/>
              </w:rPr>
              <w:t>3</w:t>
            </w:r>
            <w:r w:rsidR="001747B6">
              <w:rPr>
                <w:noProof/>
                <w:webHidden/>
              </w:rPr>
              <w:fldChar w:fldCharType="end"/>
            </w:r>
          </w:hyperlink>
        </w:p>
        <w:p w14:paraId="1DF15CC9" w14:textId="7984F5D7" w:rsidR="001747B6" w:rsidRDefault="00900F7A">
          <w:pPr>
            <w:pStyle w:val="TOC2"/>
            <w:tabs>
              <w:tab w:val="right" w:pos="9628"/>
            </w:tabs>
            <w:rPr>
              <w:rFonts w:eastAsiaTheme="minorEastAsia" w:cstheme="minorBidi"/>
              <w:b w:val="0"/>
              <w:bCs w:val="0"/>
              <w:noProof/>
              <w:kern w:val="2"/>
              <w:sz w:val="22"/>
              <w:szCs w:val="22"/>
              <w:lang w:eastAsia="en-AU"/>
              <w14:ligatures w14:val="standardContextual"/>
            </w:rPr>
          </w:pPr>
          <w:hyperlink w:anchor="_Toc167362844" w:history="1">
            <w:r w:rsidR="001747B6" w:rsidRPr="00DE6792">
              <w:rPr>
                <w:rStyle w:val="Hyperlink"/>
                <w:noProof/>
              </w:rPr>
              <w:t>Ex-parte convictions following a failure to appear</w:t>
            </w:r>
            <w:r w:rsidR="001747B6">
              <w:rPr>
                <w:noProof/>
                <w:webHidden/>
              </w:rPr>
              <w:tab/>
            </w:r>
            <w:r w:rsidR="001747B6">
              <w:rPr>
                <w:noProof/>
                <w:webHidden/>
              </w:rPr>
              <w:fldChar w:fldCharType="begin"/>
            </w:r>
            <w:r w:rsidR="001747B6">
              <w:rPr>
                <w:noProof/>
                <w:webHidden/>
              </w:rPr>
              <w:instrText xml:space="preserve"> PAGEREF _Toc167362844 \h </w:instrText>
            </w:r>
            <w:r w:rsidR="001747B6">
              <w:rPr>
                <w:noProof/>
                <w:webHidden/>
              </w:rPr>
            </w:r>
            <w:r w:rsidR="001747B6">
              <w:rPr>
                <w:noProof/>
                <w:webHidden/>
              </w:rPr>
              <w:fldChar w:fldCharType="separate"/>
            </w:r>
            <w:r w:rsidR="001747B6">
              <w:rPr>
                <w:noProof/>
                <w:webHidden/>
              </w:rPr>
              <w:t>3</w:t>
            </w:r>
            <w:r w:rsidR="001747B6">
              <w:rPr>
                <w:noProof/>
                <w:webHidden/>
              </w:rPr>
              <w:fldChar w:fldCharType="end"/>
            </w:r>
          </w:hyperlink>
        </w:p>
        <w:p w14:paraId="4F813CD9" w14:textId="6ECC5F7E" w:rsidR="001747B6" w:rsidRDefault="00900F7A">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67362845" w:history="1">
            <w:r w:rsidR="001747B6" w:rsidRPr="00DE6792">
              <w:rPr>
                <w:rStyle w:val="Hyperlink"/>
                <w:noProof/>
                <w:lang w:val="en-US"/>
              </w:rPr>
              <w:t>C.</w:t>
            </w:r>
            <w:r w:rsidR="001747B6">
              <w:rPr>
                <w:rFonts w:asciiTheme="minorHAnsi" w:eastAsiaTheme="minorEastAsia" w:hAnsiTheme="minorHAnsi" w:cstheme="minorBidi"/>
                <w:b w:val="0"/>
                <w:bCs w:val="0"/>
                <w:caps w:val="0"/>
                <w:noProof/>
                <w:kern w:val="2"/>
                <w:sz w:val="22"/>
                <w:szCs w:val="22"/>
                <w:lang w:eastAsia="en-AU"/>
                <w14:ligatures w14:val="standardContextual"/>
              </w:rPr>
              <w:tab/>
            </w:r>
            <w:r w:rsidR="001747B6" w:rsidRPr="00DE6792">
              <w:rPr>
                <w:rStyle w:val="Hyperlink"/>
                <w:noProof/>
                <w:lang w:val="en-US"/>
              </w:rPr>
              <w:t>Indictable Matters</w:t>
            </w:r>
            <w:r w:rsidR="001747B6">
              <w:rPr>
                <w:noProof/>
                <w:webHidden/>
              </w:rPr>
              <w:tab/>
            </w:r>
            <w:r w:rsidR="001747B6">
              <w:rPr>
                <w:noProof/>
                <w:webHidden/>
              </w:rPr>
              <w:fldChar w:fldCharType="begin"/>
            </w:r>
            <w:r w:rsidR="001747B6">
              <w:rPr>
                <w:noProof/>
                <w:webHidden/>
              </w:rPr>
              <w:instrText xml:space="preserve"> PAGEREF _Toc167362845 \h </w:instrText>
            </w:r>
            <w:r w:rsidR="001747B6">
              <w:rPr>
                <w:noProof/>
                <w:webHidden/>
              </w:rPr>
            </w:r>
            <w:r w:rsidR="001747B6">
              <w:rPr>
                <w:noProof/>
                <w:webHidden/>
              </w:rPr>
              <w:fldChar w:fldCharType="separate"/>
            </w:r>
            <w:r w:rsidR="001747B6">
              <w:rPr>
                <w:noProof/>
                <w:webHidden/>
              </w:rPr>
              <w:t>4</w:t>
            </w:r>
            <w:r w:rsidR="001747B6">
              <w:rPr>
                <w:noProof/>
                <w:webHidden/>
              </w:rPr>
              <w:fldChar w:fldCharType="end"/>
            </w:r>
          </w:hyperlink>
        </w:p>
        <w:p w14:paraId="2C0822A8" w14:textId="2F95B53A" w:rsidR="001747B6" w:rsidRDefault="00900F7A">
          <w:pPr>
            <w:pStyle w:val="TOC2"/>
            <w:tabs>
              <w:tab w:val="right" w:pos="9628"/>
            </w:tabs>
            <w:rPr>
              <w:rFonts w:eastAsiaTheme="minorEastAsia" w:cstheme="minorBidi"/>
              <w:b w:val="0"/>
              <w:bCs w:val="0"/>
              <w:noProof/>
              <w:kern w:val="2"/>
              <w:sz w:val="22"/>
              <w:szCs w:val="22"/>
              <w:lang w:eastAsia="en-AU"/>
              <w14:ligatures w14:val="standardContextual"/>
            </w:rPr>
          </w:pPr>
          <w:hyperlink w:anchor="_Toc167362846" w:history="1">
            <w:r w:rsidR="001747B6" w:rsidRPr="00DE6792">
              <w:rPr>
                <w:rStyle w:val="Hyperlink"/>
                <w:noProof/>
              </w:rPr>
              <w:t>Offences committed in a State</w:t>
            </w:r>
            <w:r w:rsidR="001747B6">
              <w:rPr>
                <w:noProof/>
                <w:webHidden/>
              </w:rPr>
              <w:tab/>
            </w:r>
            <w:r w:rsidR="001747B6">
              <w:rPr>
                <w:noProof/>
                <w:webHidden/>
              </w:rPr>
              <w:fldChar w:fldCharType="begin"/>
            </w:r>
            <w:r w:rsidR="001747B6">
              <w:rPr>
                <w:noProof/>
                <w:webHidden/>
              </w:rPr>
              <w:instrText xml:space="preserve"> PAGEREF _Toc167362846 \h </w:instrText>
            </w:r>
            <w:r w:rsidR="001747B6">
              <w:rPr>
                <w:noProof/>
                <w:webHidden/>
              </w:rPr>
            </w:r>
            <w:r w:rsidR="001747B6">
              <w:rPr>
                <w:noProof/>
                <w:webHidden/>
              </w:rPr>
              <w:fldChar w:fldCharType="separate"/>
            </w:r>
            <w:r w:rsidR="001747B6">
              <w:rPr>
                <w:noProof/>
                <w:webHidden/>
              </w:rPr>
              <w:t>4</w:t>
            </w:r>
            <w:r w:rsidR="001747B6">
              <w:rPr>
                <w:noProof/>
                <w:webHidden/>
              </w:rPr>
              <w:fldChar w:fldCharType="end"/>
            </w:r>
          </w:hyperlink>
        </w:p>
        <w:p w14:paraId="4F2647FE" w14:textId="137688F0" w:rsidR="001747B6" w:rsidRDefault="00900F7A">
          <w:pPr>
            <w:pStyle w:val="TOC2"/>
            <w:tabs>
              <w:tab w:val="right" w:pos="9628"/>
            </w:tabs>
            <w:rPr>
              <w:rFonts w:eastAsiaTheme="minorEastAsia" w:cstheme="minorBidi"/>
              <w:b w:val="0"/>
              <w:bCs w:val="0"/>
              <w:noProof/>
              <w:kern w:val="2"/>
              <w:sz w:val="22"/>
              <w:szCs w:val="22"/>
              <w:lang w:eastAsia="en-AU"/>
              <w14:ligatures w14:val="standardContextual"/>
            </w:rPr>
          </w:pPr>
          <w:hyperlink w:anchor="_Toc167362847" w:history="1">
            <w:r w:rsidR="001747B6" w:rsidRPr="00DE6792">
              <w:rPr>
                <w:rStyle w:val="Hyperlink"/>
                <w:noProof/>
              </w:rPr>
              <w:t>Offences committed in a Territory</w:t>
            </w:r>
            <w:r w:rsidR="001747B6">
              <w:rPr>
                <w:noProof/>
                <w:webHidden/>
              </w:rPr>
              <w:tab/>
            </w:r>
            <w:r w:rsidR="001747B6">
              <w:rPr>
                <w:noProof/>
                <w:webHidden/>
              </w:rPr>
              <w:fldChar w:fldCharType="begin"/>
            </w:r>
            <w:r w:rsidR="001747B6">
              <w:rPr>
                <w:noProof/>
                <w:webHidden/>
              </w:rPr>
              <w:instrText xml:space="preserve"> PAGEREF _Toc167362847 \h </w:instrText>
            </w:r>
            <w:r w:rsidR="001747B6">
              <w:rPr>
                <w:noProof/>
                <w:webHidden/>
              </w:rPr>
            </w:r>
            <w:r w:rsidR="001747B6">
              <w:rPr>
                <w:noProof/>
                <w:webHidden/>
              </w:rPr>
              <w:fldChar w:fldCharType="separate"/>
            </w:r>
            <w:r w:rsidR="001747B6">
              <w:rPr>
                <w:noProof/>
                <w:webHidden/>
              </w:rPr>
              <w:t>5</w:t>
            </w:r>
            <w:r w:rsidR="001747B6">
              <w:rPr>
                <w:noProof/>
                <w:webHidden/>
              </w:rPr>
              <w:fldChar w:fldCharType="end"/>
            </w:r>
          </w:hyperlink>
        </w:p>
        <w:p w14:paraId="0AA4C7A0" w14:textId="376DFAF1" w:rsidR="001747B6" w:rsidRDefault="00900F7A">
          <w:pPr>
            <w:pStyle w:val="TOC2"/>
            <w:tabs>
              <w:tab w:val="right" w:pos="9628"/>
            </w:tabs>
            <w:rPr>
              <w:rFonts w:eastAsiaTheme="minorEastAsia" w:cstheme="minorBidi"/>
              <w:b w:val="0"/>
              <w:bCs w:val="0"/>
              <w:noProof/>
              <w:kern w:val="2"/>
              <w:sz w:val="22"/>
              <w:szCs w:val="22"/>
              <w:lang w:eastAsia="en-AU"/>
              <w14:ligatures w14:val="standardContextual"/>
            </w:rPr>
          </w:pPr>
          <w:hyperlink w:anchor="_Toc167362848" w:history="1">
            <w:r w:rsidR="001747B6" w:rsidRPr="00DE6792">
              <w:rPr>
                <w:rStyle w:val="Hyperlink"/>
                <w:noProof/>
              </w:rPr>
              <w:t>Transferring indictable matters</w:t>
            </w:r>
            <w:r w:rsidR="001747B6">
              <w:rPr>
                <w:noProof/>
                <w:webHidden/>
              </w:rPr>
              <w:tab/>
            </w:r>
            <w:r w:rsidR="001747B6">
              <w:rPr>
                <w:noProof/>
                <w:webHidden/>
              </w:rPr>
              <w:fldChar w:fldCharType="begin"/>
            </w:r>
            <w:r w:rsidR="001747B6">
              <w:rPr>
                <w:noProof/>
                <w:webHidden/>
              </w:rPr>
              <w:instrText xml:space="preserve"> PAGEREF _Toc167362848 \h </w:instrText>
            </w:r>
            <w:r w:rsidR="001747B6">
              <w:rPr>
                <w:noProof/>
                <w:webHidden/>
              </w:rPr>
            </w:r>
            <w:r w:rsidR="001747B6">
              <w:rPr>
                <w:noProof/>
                <w:webHidden/>
              </w:rPr>
              <w:fldChar w:fldCharType="separate"/>
            </w:r>
            <w:r w:rsidR="001747B6">
              <w:rPr>
                <w:noProof/>
                <w:webHidden/>
              </w:rPr>
              <w:t>5</w:t>
            </w:r>
            <w:r w:rsidR="001747B6">
              <w:rPr>
                <w:noProof/>
                <w:webHidden/>
              </w:rPr>
              <w:fldChar w:fldCharType="end"/>
            </w:r>
          </w:hyperlink>
        </w:p>
        <w:p w14:paraId="6E8AEB43" w14:textId="3D5F3600" w:rsidR="001747B6" w:rsidRDefault="00900F7A">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67362849" w:history="1">
            <w:r w:rsidR="001747B6" w:rsidRPr="00DE6792">
              <w:rPr>
                <w:rStyle w:val="Hyperlink"/>
                <w:noProof/>
              </w:rPr>
              <w:t>D.</w:t>
            </w:r>
            <w:r w:rsidR="001747B6">
              <w:rPr>
                <w:rFonts w:asciiTheme="minorHAnsi" w:eastAsiaTheme="minorEastAsia" w:hAnsiTheme="minorHAnsi" w:cstheme="minorBidi"/>
                <w:b w:val="0"/>
                <w:bCs w:val="0"/>
                <w:caps w:val="0"/>
                <w:noProof/>
                <w:kern w:val="2"/>
                <w:sz w:val="22"/>
                <w:szCs w:val="22"/>
                <w:lang w:eastAsia="en-AU"/>
                <w14:ligatures w14:val="standardContextual"/>
              </w:rPr>
              <w:tab/>
            </w:r>
            <w:r w:rsidR="001747B6" w:rsidRPr="00DE6792">
              <w:rPr>
                <w:rStyle w:val="Hyperlink"/>
                <w:noProof/>
              </w:rPr>
              <w:t>Related Resources</w:t>
            </w:r>
            <w:r w:rsidR="001747B6">
              <w:rPr>
                <w:noProof/>
                <w:webHidden/>
              </w:rPr>
              <w:tab/>
            </w:r>
            <w:r w:rsidR="001747B6">
              <w:rPr>
                <w:noProof/>
                <w:webHidden/>
              </w:rPr>
              <w:fldChar w:fldCharType="begin"/>
            </w:r>
            <w:r w:rsidR="001747B6">
              <w:rPr>
                <w:noProof/>
                <w:webHidden/>
              </w:rPr>
              <w:instrText xml:space="preserve"> PAGEREF _Toc167362849 \h </w:instrText>
            </w:r>
            <w:r w:rsidR="001747B6">
              <w:rPr>
                <w:noProof/>
                <w:webHidden/>
              </w:rPr>
            </w:r>
            <w:r w:rsidR="001747B6">
              <w:rPr>
                <w:noProof/>
                <w:webHidden/>
              </w:rPr>
              <w:fldChar w:fldCharType="separate"/>
            </w:r>
            <w:r w:rsidR="001747B6">
              <w:rPr>
                <w:noProof/>
                <w:webHidden/>
              </w:rPr>
              <w:t>6</w:t>
            </w:r>
            <w:r w:rsidR="001747B6">
              <w:rPr>
                <w:noProof/>
                <w:webHidden/>
              </w:rPr>
              <w:fldChar w:fldCharType="end"/>
            </w:r>
          </w:hyperlink>
        </w:p>
        <w:p w14:paraId="627054A3" w14:textId="551058A8" w:rsidR="001747B6" w:rsidRDefault="00900F7A">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67362850" w:history="1">
            <w:r w:rsidR="001747B6" w:rsidRPr="00DE6792">
              <w:rPr>
                <w:rStyle w:val="Hyperlink"/>
                <w:noProof/>
              </w:rPr>
              <w:t>E.</w:t>
            </w:r>
            <w:r w:rsidR="001747B6">
              <w:rPr>
                <w:rFonts w:asciiTheme="minorHAnsi" w:eastAsiaTheme="minorEastAsia" w:hAnsiTheme="minorHAnsi" w:cstheme="minorBidi"/>
                <w:b w:val="0"/>
                <w:bCs w:val="0"/>
                <w:caps w:val="0"/>
                <w:noProof/>
                <w:kern w:val="2"/>
                <w:sz w:val="22"/>
                <w:szCs w:val="22"/>
                <w:lang w:eastAsia="en-AU"/>
                <w14:ligatures w14:val="standardContextual"/>
              </w:rPr>
              <w:tab/>
            </w:r>
            <w:r w:rsidR="001747B6" w:rsidRPr="00DE6792">
              <w:rPr>
                <w:rStyle w:val="Hyperlink"/>
                <w:noProof/>
              </w:rPr>
              <w:t>DOCUMENT RELEASE INFORMATION</w:t>
            </w:r>
            <w:r w:rsidR="001747B6">
              <w:rPr>
                <w:noProof/>
                <w:webHidden/>
              </w:rPr>
              <w:tab/>
            </w:r>
            <w:r w:rsidR="001747B6">
              <w:rPr>
                <w:noProof/>
                <w:webHidden/>
              </w:rPr>
              <w:fldChar w:fldCharType="begin"/>
            </w:r>
            <w:r w:rsidR="001747B6">
              <w:rPr>
                <w:noProof/>
                <w:webHidden/>
              </w:rPr>
              <w:instrText xml:space="preserve"> PAGEREF _Toc167362850 \h </w:instrText>
            </w:r>
            <w:r w:rsidR="001747B6">
              <w:rPr>
                <w:noProof/>
                <w:webHidden/>
              </w:rPr>
            </w:r>
            <w:r w:rsidR="001747B6">
              <w:rPr>
                <w:noProof/>
                <w:webHidden/>
              </w:rPr>
              <w:fldChar w:fldCharType="separate"/>
            </w:r>
            <w:r w:rsidR="001747B6">
              <w:rPr>
                <w:noProof/>
                <w:webHidden/>
              </w:rPr>
              <w:t>6</w:t>
            </w:r>
            <w:r w:rsidR="001747B6">
              <w:rPr>
                <w:noProof/>
                <w:webHidden/>
              </w:rPr>
              <w:fldChar w:fldCharType="end"/>
            </w:r>
          </w:hyperlink>
        </w:p>
        <w:p w14:paraId="0A6BCF41" w14:textId="1D0B44D8" w:rsidR="001747B6" w:rsidRDefault="00900F7A">
          <w:pPr>
            <w:pStyle w:val="TOC2"/>
            <w:tabs>
              <w:tab w:val="right" w:pos="9628"/>
            </w:tabs>
            <w:rPr>
              <w:rFonts w:eastAsiaTheme="minorEastAsia" w:cstheme="minorBidi"/>
              <w:b w:val="0"/>
              <w:bCs w:val="0"/>
              <w:noProof/>
              <w:kern w:val="2"/>
              <w:sz w:val="22"/>
              <w:szCs w:val="22"/>
              <w:lang w:eastAsia="en-AU"/>
              <w14:ligatures w14:val="standardContextual"/>
            </w:rPr>
          </w:pPr>
          <w:hyperlink w:anchor="_Toc167362851" w:history="1">
            <w:r w:rsidR="001747B6" w:rsidRPr="00DE6792">
              <w:rPr>
                <w:rStyle w:val="Hyperlink"/>
                <w:noProof/>
              </w:rPr>
              <w:t>Approval for release</w:t>
            </w:r>
            <w:r w:rsidR="001747B6">
              <w:rPr>
                <w:noProof/>
                <w:webHidden/>
              </w:rPr>
              <w:tab/>
            </w:r>
            <w:r w:rsidR="001747B6">
              <w:rPr>
                <w:noProof/>
                <w:webHidden/>
              </w:rPr>
              <w:fldChar w:fldCharType="begin"/>
            </w:r>
            <w:r w:rsidR="001747B6">
              <w:rPr>
                <w:noProof/>
                <w:webHidden/>
              </w:rPr>
              <w:instrText xml:space="preserve"> PAGEREF _Toc167362851 \h </w:instrText>
            </w:r>
            <w:r w:rsidR="001747B6">
              <w:rPr>
                <w:noProof/>
                <w:webHidden/>
              </w:rPr>
            </w:r>
            <w:r w:rsidR="001747B6">
              <w:rPr>
                <w:noProof/>
                <w:webHidden/>
              </w:rPr>
              <w:fldChar w:fldCharType="separate"/>
            </w:r>
            <w:r w:rsidR="001747B6">
              <w:rPr>
                <w:noProof/>
                <w:webHidden/>
              </w:rPr>
              <w:t>6</w:t>
            </w:r>
            <w:r w:rsidR="001747B6">
              <w:rPr>
                <w:noProof/>
                <w:webHidden/>
              </w:rPr>
              <w:fldChar w:fldCharType="end"/>
            </w:r>
          </w:hyperlink>
        </w:p>
        <w:p w14:paraId="64FAA283" w14:textId="71AA0BA9" w:rsidR="001747B6" w:rsidRDefault="00900F7A">
          <w:pPr>
            <w:pStyle w:val="TOC2"/>
            <w:tabs>
              <w:tab w:val="right" w:pos="9628"/>
            </w:tabs>
            <w:rPr>
              <w:rFonts w:eastAsiaTheme="minorEastAsia" w:cstheme="minorBidi"/>
              <w:b w:val="0"/>
              <w:bCs w:val="0"/>
              <w:noProof/>
              <w:kern w:val="2"/>
              <w:sz w:val="22"/>
              <w:szCs w:val="22"/>
              <w:lang w:eastAsia="en-AU"/>
              <w14:ligatures w14:val="standardContextual"/>
            </w:rPr>
          </w:pPr>
          <w:hyperlink w:anchor="_Toc167362852" w:history="1">
            <w:r w:rsidR="001747B6" w:rsidRPr="00DE6792">
              <w:rPr>
                <w:rStyle w:val="Hyperlink"/>
                <w:noProof/>
              </w:rPr>
              <w:t>Version control</w:t>
            </w:r>
            <w:r w:rsidR="001747B6">
              <w:rPr>
                <w:noProof/>
                <w:webHidden/>
              </w:rPr>
              <w:tab/>
            </w:r>
            <w:r w:rsidR="001747B6">
              <w:rPr>
                <w:noProof/>
                <w:webHidden/>
              </w:rPr>
              <w:fldChar w:fldCharType="begin"/>
            </w:r>
            <w:r w:rsidR="001747B6">
              <w:rPr>
                <w:noProof/>
                <w:webHidden/>
              </w:rPr>
              <w:instrText xml:space="preserve"> PAGEREF _Toc167362852 \h </w:instrText>
            </w:r>
            <w:r w:rsidR="001747B6">
              <w:rPr>
                <w:noProof/>
                <w:webHidden/>
              </w:rPr>
            </w:r>
            <w:r w:rsidR="001747B6">
              <w:rPr>
                <w:noProof/>
                <w:webHidden/>
              </w:rPr>
              <w:fldChar w:fldCharType="separate"/>
            </w:r>
            <w:r w:rsidR="001747B6">
              <w:rPr>
                <w:noProof/>
                <w:webHidden/>
              </w:rPr>
              <w:t>6</w:t>
            </w:r>
            <w:r w:rsidR="001747B6">
              <w:rPr>
                <w:noProof/>
                <w:webHidden/>
              </w:rPr>
              <w:fldChar w:fldCharType="end"/>
            </w:r>
          </w:hyperlink>
        </w:p>
        <w:p w14:paraId="31D5AC9C" w14:textId="7E397ABD" w:rsidR="00D75EEF" w:rsidRDefault="00D75EEF">
          <w:r>
            <w:rPr>
              <w:b/>
              <w:bCs/>
              <w:noProof/>
            </w:rPr>
            <w:fldChar w:fldCharType="end"/>
          </w:r>
        </w:p>
      </w:sdtContent>
    </w:sdt>
    <w:p w14:paraId="00F3698A" w14:textId="432CFEB7" w:rsidR="00FE269A" w:rsidRPr="00FE269A" w:rsidRDefault="00252849" w:rsidP="00376B47">
      <w:pPr>
        <w:pStyle w:val="Heading1"/>
      </w:pPr>
      <w:bookmarkStart w:id="1" w:name="_Toc167362840"/>
      <w:r w:rsidRPr="00252849">
        <w:t>Overview</w:t>
      </w:r>
      <w:bookmarkEnd w:id="1"/>
      <w:bookmarkEnd w:id="0"/>
      <w:r w:rsidRPr="00252849">
        <w:t xml:space="preserve"> </w:t>
      </w:r>
    </w:p>
    <w:p w14:paraId="55CE59D7" w14:textId="4BDC7E1D" w:rsidR="00395A70" w:rsidRPr="009514D2" w:rsidRDefault="00C0786A" w:rsidP="000D1B49">
      <w:pPr>
        <w:pStyle w:val="Para1123"/>
      </w:pPr>
      <w:r w:rsidRPr="00C0786A">
        <w:t xml:space="preserve">The </w:t>
      </w:r>
      <w:r w:rsidRPr="008737BF">
        <w:rPr>
          <w:i/>
          <w:iCs/>
        </w:rPr>
        <w:t>Constitution</w:t>
      </w:r>
      <w:r w:rsidRPr="00C0786A">
        <w:t xml:space="preserve"> provides that the judicial power of the Commonwealth shall be vested in the High Court of Australia and in such other courts as the Parliament creates and invests with federal jurisdiction.</w:t>
      </w:r>
      <w:r w:rsidR="00CD7059">
        <w:rPr>
          <w:rStyle w:val="FootnoteReference"/>
        </w:rPr>
        <w:footnoteReference w:id="3"/>
      </w:r>
      <w:r w:rsidR="0024453A">
        <w:t xml:space="preserve"> </w:t>
      </w:r>
      <w:r w:rsidR="00395A70" w:rsidRPr="009514D2">
        <w:t>Jurisdictional requirements are fundamental to the success of any criminal prosecution. A</w:t>
      </w:r>
      <w:r w:rsidR="008A522E">
        <w:t> </w:t>
      </w:r>
      <w:r w:rsidR="00395A70" w:rsidRPr="009514D2">
        <w:t xml:space="preserve">prosecution which is conducted without appropriate jurisdiction may be null and void. </w:t>
      </w:r>
    </w:p>
    <w:p w14:paraId="68598151" w14:textId="64DEF394" w:rsidR="00395A70" w:rsidRPr="000919DC" w:rsidRDefault="00395A70" w:rsidP="000D1B49">
      <w:pPr>
        <w:pStyle w:val="Para1123"/>
      </w:pPr>
      <w:r>
        <w:t xml:space="preserve">Federal jurisdiction is the authority to exercise the judicial power of the Commonwealth. Except for </w:t>
      </w:r>
      <w:r w:rsidRPr="00493AFF">
        <w:t xml:space="preserve">specified offences prosecuted in the Federal Court of Australia, all prosecutions for Commonwealth offences are prosecuted in </w:t>
      </w:r>
      <w:r w:rsidR="005D79EF">
        <w:t>state or territory</w:t>
      </w:r>
      <w:r w:rsidRPr="00493AFF">
        <w:t xml:space="preserve"> </w:t>
      </w:r>
      <w:r w:rsidR="00493AFF" w:rsidRPr="00493AFF">
        <w:rPr>
          <w:rFonts w:eastAsia="Times New Roman" w:cs="Calibri"/>
          <w:lang w:eastAsia="en-AU"/>
        </w:rPr>
        <w:t xml:space="preserve">courts vested with federal jurisdiction. The criminal </w:t>
      </w:r>
      <w:r w:rsidR="00493AFF" w:rsidRPr="00493AFF">
        <w:rPr>
          <w:rFonts w:eastAsia="Times New Roman" w:cs="Calibri"/>
          <w:lang w:eastAsia="en-AU"/>
        </w:rPr>
        <w:lastRenderedPageBreak/>
        <w:t xml:space="preserve">procedure of the relevant </w:t>
      </w:r>
      <w:r w:rsidR="005D79EF">
        <w:rPr>
          <w:rFonts w:eastAsia="Times New Roman" w:cs="Calibri"/>
          <w:lang w:eastAsia="en-AU"/>
        </w:rPr>
        <w:t>state or territory</w:t>
      </w:r>
      <w:r w:rsidR="00493AFF" w:rsidRPr="00493AFF">
        <w:rPr>
          <w:rFonts w:eastAsia="Times New Roman" w:cs="Calibri"/>
          <w:lang w:eastAsia="en-AU"/>
        </w:rPr>
        <w:t xml:space="preserve"> is picked up and applied by </w:t>
      </w:r>
      <w:r w:rsidR="003D6C15">
        <w:rPr>
          <w:rFonts w:eastAsia="Times New Roman" w:cs="Calibri"/>
          <w:lang w:eastAsia="en-AU"/>
        </w:rPr>
        <w:t xml:space="preserve">s 68 of </w:t>
      </w:r>
      <w:r w:rsidR="00493AFF" w:rsidRPr="00493AFF">
        <w:rPr>
          <w:rFonts w:eastAsia="Times New Roman" w:cs="Calibri"/>
          <w:lang w:eastAsia="en-AU"/>
        </w:rPr>
        <w:t xml:space="preserve">the </w:t>
      </w:r>
      <w:r w:rsidR="00493AFF" w:rsidRPr="00493AFF">
        <w:rPr>
          <w:rFonts w:eastAsia="Times New Roman" w:cs="Calibri"/>
          <w:i/>
          <w:iCs/>
          <w:lang w:eastAsia="en-AU"/>
        </w:rPr>
        <w:t>Judiciary Act 1903</w:t>
      </w:r>
      <w:r w:rsidR="00493AFF" w:rsidRPr="00493AFF">
        <w:rPr>
          <w:rFonts w:eastAsia="Times New Roman" w:cs="Calibri"/>
          <w:lang w:eastAsia="en-AU"/>
        </w:rPr>
        <w:t xml:space="preserve"> (Cth) (</w:t>
      </w:r>
      <w:r w:rsidR="003676C8">
        <w:rPr>
          <w:rFonts w:eastAsia="Times New Roman" w:cs="Calibri"/>
          <w:lang w:eastAsia="en-AU"/>
        </w:rPr>
        <w:t>the </w:t>
      </w:r>
      <w:r w:rsidR="00493AFF" w:rsidRPr="008A522E">
        <w:rPr>
          <w:rFonts w:eastAsia="Times New Roman" w:cs="Calibri"/>
          <w:b/>
          <w:bCs/>
          <w:i/>
          <w:iCs/>
          <w:lang w:eastAsia="en-AU"/>
        </w:rPr>
        <w:t>Judiciary Act</w:t>
      </w:r>
      <w:r w:rsidR="00493AFF" w:rsidRPr="00493AFF">
        <w:rPr>
          <w:rFonts w:eastAsia="Times New Roman" w:cs="Calibri"/>
          <w:lang w:eastAsia="en-AU"/>
        </w:rPr>
        <w:t>).</w:t>
      </w:r>
    </w:p>
    <w:p w14:paraId="450B1281" w14:textId="77777777" w:rsidR="0062782B" w:rsidRPr="000919DC" w:rsidRDefault="0062782B" w:rsidP="0062782B">
      <w:pPr>
        <w:pStyle w:val="Para1123"/>
      </w:pPr>
      <w:r w:rsidRPr="000919DC">
        <w:t xml:space="preserve">The interplay </w:t>
      </w:r>
      <w:r>
        <w:t>between</w:t>
      </w:r>
      <w:r w:rsidRPr="000919DC">
        <w:t xml:space="preserve"> the </w:t>
      </w:r>
      <w:r w:rsidRPr="002742FD">
        <w:rPr>
          <w:i/>
          <w:iCs/>
        </w:rPr>
        <w:t>Criminal Code</w:t>
      </w:r>
      <w:r w:rsidRPr="000919DC">
        <w:t xml:space="preserve"> </w:t>
      </w:r>
      <w:r>
        <w:t>and</w:t>
      </w:r>
      <w:r w:rsidRPr="000919DC">
        <w:t xml:space="preserve"> the </w:t>
      </w:r>
      <w:r w:rsidRPr="00196CB1">
        <w:rPr>
          <w:i/>
          <w:iCs/>
        </w:rPr>
        <w:t>Constitution</w:t>
      </w:r>
      <w:r w:rsidRPr="000919DC">
        <w:t xml:space="preserve">, the </w:t>
      </w:r>
      <w:r w:rsidRPr="002742FD">
        <w:rPr>
          <w:i/>
          <w:iCs/>
        </w:rPr>
        <w:t>Judiciary Act</w:t>
      </w:r>
      <w:r w:rsidRPr="00196CB1">
        <w:t>,</w:t>
      </w:r>
      <w:r w:rsidRPr="000919DC">
        <w:t xml:space="preserve"> </w:t>
      </w:r>
      <w:r>
        <w:t xml:space="preserve">the offence </w:t>
      </w:r>
      <w:r w:rsidRPr="000919DC">
        <w:t>and the factual circumstances involved, will primarily determine where offences can be prosecuted.</w:t>
      </w:r>
    </w:p>
    <w:p w14:paraId="67935DE2" w14:textId="15DDABDF" w:rsidR="00A639DE" w:rsidRPr="000919DC" w:rsidRDefault="00A639DE" w:rsidP="002A6226">
      <w:pPr>
        <w:pStyle w:val="Para1123"/>
        <w:keepNext/>
      </w:pPr>
      <w:r w:rsidRPr="00A639DE">
        <w:t xml:space="preserve">Prosecutors should have regard to the following provisions when considering </w:t>
      </w:r>
      <w:r w:rsidR="00AD2D2C">
        <w:t>the appropriate</w:t>
      </w:r>
      <w:r w:rsidRPr="00A639DE">
        <w:t xml:space="preserve"> jurisdiction:</w:t>
      </w:r>
    </w:p>
    <w:p w14:paraId="6E66A464" w14:textId="618B5801" w:rsidR="00395A70" w:rsidRPr="000919DC" w:rsidRDefault="003D6C15" w:rsidP="002A6226">
      <w:pPr>
        <w:pStyle w:val="Sub-para111213"/>
      </w:pPr>
      <w:r>
        <w:rPr>
          <w:shd w:val="clear" w:color="auto" w:fill="FFFFFF" w:themeFill="background1"/>
        </w:rPr>
        <w:t xml:space="preserve">Section </w:t>
      </w:r>
      <w:r w:rsidR="004E5052">
        <w:rPr>
          <w:shd w:val="clear" w:color="auto" w:fill="FFFFFF" w:themeFill="background1"/>
        </w:rPr>
        <w:t>8</w:t>
      </w:r>
      <w:r>
        <w:rPr>
          <w:shd w:val="clear" w:color="auto" w:fill="FFFFFF" w:themeFill="background1"/>
        </w:rPr>
        <w:t>0 of the</w:t>
      </w:r>
      <w:r w:rsidRPr="000919DC">
        <w:rPr>
          <w:shd w:val="clear" w:color="auto" w:fill="FFFFFF" w:themeFill="background1"/>
        </w:rPr>
        <w:t xml:space="preserve"> </w:t>
      </w:r>
      <w:r w:rsidR="00395A70" w:rsidRPr="000919DC">
        <w:rPr>
          <w:i/>
          <w:iCs/>
          <w:shd w:val="clear" w:color="auto" w:fill="FFFFFF" w:themeFill="background1"/>
        </w:rPr>
        <w:t>Constitution</w:t>
      </w:r>
      <w:r w:rsidR="004E5052">
        <w:rPr>
          <w:shd w:val="clear" w:color="auto" w:fill="FFFFFF" w:themeFill="background1"/>
        </w:rPr>
        <w:t>, which</w:t>
      </w:r>
      <w:r w:rsidR="00395A70" w:rsidRPr="000919DC">
        <w:rPr>
          <w:shd w:val="clear" w:color="auto" w:fill="FFFFFF" w:themeFill="background1"/>
        </w:rPr>
        <w:t xml:space="preserve"> provides that the trial on indictment of any offence against any law of the Commonwealth shall be by jury and every such trial shall be held in the State where the offence was committed.</w:t>
      </w:r>
      <w:r w:rsidR="00395A70" w:rsidRPr="000919DC">
        <w:rPr>
          <w:rStyle w:val="FootnoteReference"/>
          <w:rFonts w:cstheme="minorHAnsi"/>
          <w:shd w:val="clear" w:color="auto" w:fill="FFFFFF" w:themeFill="background1"/>
        </w:rPr>
        <w:footnoteReference w:id="4"/>
      </w:r>
    </w:p>
    <w:p w14:paraId="72BD95B3" w14:textId="47B219B6" w:rsidR="00395A70" w:rsidRPr="000919DC" w:rsidRDefault="002E0663" w:rsidP="00F1765A">
      <w:pPr>
        <w:pStyle w:val="Sub-para111213"/>
      </w:pPr>
      <w:r>
        <w:rPr>
          <w:shd w:val="clear" w:color="auto" w:fill="FFFFFF" w:themeFill="background1"/>
        </w:rPr>
        <w:t>Section 70 of t</w:t>
      </w:r>
      <w:r w:rsidR="00395A70" w:rsidRPr="000919DC">
        <w:rPr>
          <w:shd w:val="clear" w:color="auto" w:fill="FFFFFF" w:themeFill="background1"/>
        </w:rPr>
        <w:t xml:space="preserve">he </w:t>
      </w:r>
      <w:r w:rsidR="00395A70" w:rsidRPr="00A53C23">
        <w:rPr>
          <w:i/>
          <w:iCs/>
          <w:shd w:val="clear" w:color="auto" w:fill="FFFFFF" w:themeFill="background1"/>
        </w:rPr>
        <w:t>Judiciary Act</w:t>
      </w:r>
      <w:r w:rsidR="004E5052">
        <w:rPr>
          <w:shd w:val="clear" w:color="auto" w:fill="FFFFFF" w:themeFill="background1"/>
        </w:rPr>
        <w:t>, which</w:t>
      </w:r>
      <w:r w:rsidR="00395A70" w:rsidRPr="000919DC">
        <w:rPr>
          <w:i/>
          <w:iCs/>
          <w:shd w:val="clear" w:color="auto" w:fill="FFFFFF" w:themeFill="background1"/>
        </w:rPr>
        <w:t xml:space="preserve"> </w:t>
      </w:r>
      <w:r w:rsidR="00395A70" w:rsidRPr="000919DC">
        <w:rPr>
          <w:shd w:val="clear" w:color="auto" w:fill="FFFFFF" w:themeFill="background1"/>
        </w:rPr>
        <w:t xml:space="preserve">provides </w:t>
      </w:r>
      <w:r w:rsidR="004E5052">
        <w:rPr>
          <w:shd w:val="clear" w:color="auto" w:fill="FFFFFF" w:themeFill="background1"/>
        </w:rPr>
        <w:t>that</w:t>
      </w:r>
      <w:r w:rsidR="00395A70" w:rsidRPr="000919DC">
        <w:rPr>
          <w:shd w:val="clear" w:color="auto" w:fill="FFFFFF" w:themeFill="background1"/>
        </w:rPr>
        <w:t xml:space="preserve"> when an offence against the laws of the Commonwealth is begun in one State or part of the Commonwealth and completed in another, the offender may be </w:t>
      </w:r>
      <w:r w:rsidR="00752D86">
        <w:rPr>
          <w:shd w:val="clear" w:color="auto" w:fill="FFFFFF" w:themeFill="background1"/>
        </w:rPr>
        <w:t>“</w:t>
      </w:r>
      <w:r w:rsidR="00395A70" w:rsidRPr="000919DC">
        <w:rPr>
          <w:shd w:val="clear" w:color="auto" w:fill="FFFFFF" w:themeFill="background1"/>
        </w:rPr>
        <w:t>dealt with tried and punished</w:t>
      </w:r>
      <w:r w:rsidR="00752D86">
        <w:rPr>
          <w:shd w:val="clear" w:color="auto" w:fill="FFFFFF" w:themeFill="background1"/>
        </w:rPr>
        <w:t>”</w:t>
      </w:r>
      <w:r w:rsidR="00395A70" w:rsidRPr="000919DC">
        <w:rPr>
          <w:shd w:val="clear" w:color="auto" w:fill="FFFFFF" w:themeFill="background1"/>
        </w:rPr>
        <w:t xml:space="preserve"> in either State or part in the same manner as if the offence had been actually and wholly committed</w:t>
      </w:r>
      <w:r w:rsidR="00395A70" w:rsidRPr="000919DC">
        <w:rPr>
          <w:rFonts w:ascii="Roboto" w:hAnsi="Roboto"/>
          <w:color w:val="111111"/>
          <w:shd w:val="clear" w:color="auto" w:fill="FFFFFF"/>
        </w:rPr>
        <w:t xml:space="preserve"> </w:t>
      </w:r>
      <w:r w:rsidR="00395A70" w:rsidRPr="000919DC">
        <w:rPr>
          <w:shd w:val="clear" w:color="auto" w:fill="FFFFFF" w:themeFill="background1"/>
        </w:rPr>
        <w:t xml:space="preserve">therein. </w:t>
      </w:r>
    </w:p>
    <w:p w14:paraId="037592DD" w14:textId="6BF984EB" w:rsidR="00196CB1" w:rsidRDefault="004E5052" w:rsidP="00F1765A">
      <w:pPr>
        <w:pStyle w:val="Sub-para111213"/>
      </w:pPr>
      <w:r>
        <w:rPr>
          <w:shd w:val="clear" w:color="auto" w:fill="FFFFFF" w:themeFill="background1"/>
        </w:rPr>
        <w:t xml:space="preserve">Section 70A of the </w:t>
      </w:r>
      <w:r w:rsidRPr="00A53C23">
        <w:rPr>
          <w:i/>
          <w:iCs/>
          <w:shd w:val="clear" w:color="auto" w:fill="FFFFFF" w:themeFill="background1"/>
        </w:rPr>
        <w:t>Judiciary Act</w:t>
      </w:r>
      <w:r w:rsidRPr="00692663">
        <w:rPr>
          <w:shd w:val="clear" w:color="auto" w:fill="FFFFFF" w:themeFill="background1"/>
        </w:rPr>
        <w:t xml:space="preserve"> which provides that </w:t>
      </w:r>
      <w:r>
        <w:rPr>
          <w:shd w:val="clear" w:color="auto" w:fill="FFFFFF" w:themeFill="background1"/>
        </w:rPr>
        <w:t>t</w:t>
      </w:r>
      <w:r w:rsidR="00395A70" w:rsidRPr="000919DC">
        <w:rPr>
          <w:shd w:val="clear" w:color="auto" w:fill="FFFFFF" w:themeFill="background1"/>
        </w:rPr>
        <w:t xml:space="preserve">he trial on indictment of an offence against a law of the Commonwealth not committed within any State and not being an offence to which </w:t>
      </w:r>
      <w:r w:rsidRPr="000919DC">
        <w:rPr>
          <w:shd w:val="clear" w:color="auto" w:fill="FFFFFF" w:themeFill="background1"/>
        </w:rPr>
        <w:t>s</w:t>
      </w:r>
      <w:r>
        <w:rPr>
          <w:shd w:val="clear" w:color="auto" w:fill="FFFFFF" w:themeFill="background1"/>
        </w:rPr>
        <w:t> </w:t>
      </w:r>
      <w:r w:rsidR="00395A70" w:rsidRPr="000919DC">
        <w:rPr>
          <w:shd w:val="clear" w:color="auto" w:fill="FFFFFF" w:themeFill="background1"/>
        </w:rPr>
        <w:t xml:space="preserve">70 applies may be held in any </w:t>
      </w:r>
      <w:r w:rsidR="005D79EF">
        <w:rPr>
          <w:shd w:val="clear" w:color="auto" w:fill="FFFFFF" w:themeFill="background1"/>
        </w:rPr>
        <w:t xml:space="preserve">State or </w:t>
      </w:r>
      <w:r>
        <w:rPr>
          <w:shd w:val="clear" w:color="auto" w:fill="FFFFFF" w:themeFill="background1"/>
        </w:rPr>
        <w:t>T</w:t>
      </w:r>
      <w:r w:rsidR="005D79EF">
        <w:rPr>
          <w:shd w:val="clear" w:color="auto" w:fill="FFFFFF" w:themeFill="background1"/>
        </w:rPr>
        <w:t>erritory</w:t>
      </w:r>
      <w:r w:rsidR="00395A70" w:rsidRPr="000919DC">
        <w:rPr>
          <w:shd w:val="clear" w:color="auto" w:fill="FFFFFF" w:themeFill="background1"/>
        </w:rPr>
        <w:t>.</w:t>
      </w:r>
      <w:r w:rsidR="00E3321D" w:rsidRPr="00E3321D">
        <w:rPr>
          <w:color w:val="1F497D"/>
        </w:rPr>
        <w:t xml:space="preserve"> </w:t>
      </w:r>
      <w:r w:rsidR="00517291">
        <w:t>A</w:t>
      </w:r>
      <w:r w:rsidR="00E3321D" w:rsidRPr="00DD0EA9">
        <w:t xml:space="preserve">n offence that occurs overseas or partly overseas </w:t>
      </w:r>
      <w:r w:rsidR="005C6843">
        <w:t xml:space="preserve">is also not committed within any State and </w:t>
      </w:r>
      <w:r w:rsidR="00E3321D" w:rsidRPr="00DD0EA9">
        <w:t xml:space="preserve">can </w:t>
      </w:r>
      <w:r w:rsidR="005C6843">
        <w:t xml:space="preserve">therefore </w:t>
      </w:r>
      <w:r w:rsidR="00E3321D" w:rsidRPr="00DD0EA9">
        <w:t>be tried anywhere in Australia.</w:t>
      </w:r>
      <w:r w:rsidR="00196CB1" w:rsidRPr="00DD0EA9">
        <w:t xml:space="preserve"> In addition, offending that occurs wholly within a </w:t>
      </w:r>
      <w:r w:rsidR="002742FD">
        <w:t>T</w:t>
      </w:r>
      <w:r w:rsidR="00196CB1" w:rsidRPr="00DD0EA9">
        <w:t>erritory ca</w:t>
      </w:r>
      <w:r w:rsidR="00DD0EA9">
        <w:t>n</w:t>
      </w:r>
      <w:r w:rsidR="00196CB1" w:rsidRPr="00DD0EA9">
        <w:t xml:space="preserve"> be tried anywhere in Australia.</w:t>
      </w:r>
    </w:p>
    <w:p w14:paraId="16D1FA30" w14:textId="721B3677" w:rsidR="00395A70" w:rsidRPr="00D27BB6" w:rsidRDefault="00395A70" w:rsidP="00F1765A">
      <w:pPr>
        <w:pStyle w:val="Sub-para111213"/>
      </w:pPr>
      <w:r w:rsidRPr="00FB120D">
        <w:rPr>
          <w:shd w:val="clear" w:color="auto" w:fill="FFFFFF" w:themeFill="background1"/>
        </w:rPr>
        <w:t xml:space="preserve">Part 2.7 of the </w:t>
      </w:r>
      <w:r w:rsidRPr="00FB120D">
        <w:rPr>
          <w:i/>
          <w:iCs/>
          <w:shd w:val="clear" w:color="auto" w:fill="FFFFFF" w:themeFill="background1"/>
        </w:rPr>
        <w:t>Criminal Code</w:t>
      </w:r>
      <w:r w:rsidRPr="00FB120D">
        <w:rPr>
          <w:shd w:val="clear" w:color="auto" w:fill="FFFFFF" w:themeFill="background1"/>
        </w:rPr>
        <w:t xml:space="preserve"> (Cth) (</w:t>
      </w:r>
      <w:r w:rsidR="003676C8">
        <w:rPr>
          <w:shd w:val="clear" w:color="auto" w:fill="FFFFFF" w:themeFill="background1"/>
        </w:rPr>
        <w:t xml:space="preserve">the </w:t>
      </w:r>
      <w:r w:rsidRPr="002742FD">
        <w:rPr>
          <w:b/>
          <w:bCs/>
          <w:i/>
          <w:iCs/>
          <w:shd w:val="clear" w:color="auto" w:fill="FFFFFF" w:themeFill="background1"/>
        </w:rPr>
        <w:t>Criminal Code</w:t>
      </w:r>
      <w:r w:rsidRPr="00FB120D">
        <w:rPr>
          <w:shd w:val="clear" w:color="auto" w:fill="FFFFFF" w:themeFill="background1"/>
        </w:rPr>
        <w:t>)</w:t>
      </w:r>
      <w:r w:rsidR="004E5052">
        <w:rPr>
          <w:shd w:val="clear" w:color="auto" w:fill="FFFFFF" w:themeFill="background1"/>
        </w:rPr>
        <w:t>, which</w:t>
      </w:r>
      <w:r w:rsidRPr="00FB120D">
        <w:rPr>
          <w:shd w:val="clear" w:color="auto" w:fill="FFFFFF" w:themeFill="background1"/>
        </w:rPr>
        <w:t xml:space="preserve"> contains a number of provisions </w:t>
      </w:r>
      <w:r w:rsidR="004E5052">
        <w:rPr>
          <w:shd w:val="clear" w:color="auto" w:fill="FFFFFF" w:themeFill="background1"/>
        </w:rPr>
        <w:t>that</w:t>
      </w:r>
      <w:r w:rsidR="004E5052" w:rsidRPr="00FB120D">
        <w:rPr>
          <w:shd w:val="clear" w:color="auto" w:fill="FFFFFF" w:themeFill="background1"/>
        </w:rPr>
        <w:t xml:space="preserve"> </w:t>
      </w:r>
      <w:r w:rsidRPr="00FB120D">
        <w:rPr>
          <w:shd w:val="clear" w:color="auto" w:fill="FFFFFF" w:themeFill="background1"/>
        </w:rPr>
        <w:t>provide geographical jurisdiction for Commonwealth criminal offences</w:t>
      </w:r>
      <w:r w:rsidR="001B0E38">
        <w:rPr>
          <w:shd w:val="clear" w:color="auto" w:fill="FFFFFF" w:themeFill="background1"/>
        </w:rPr>
        <w:t>.</w:t>
      </w:r>
    </w:p>
    <w:p w14:paraId="1077CC32" w14:textId="6AE4B5D7" w:rsidR="00395A70" w:rsidRPr="00FB120D" w:rsidRDefault="001B0E38" w:rsidP="00F1765A">
      <w:pPr>
        <w:pStyle w:val="Sub-para111213"/>
      </w:pPr>
      <w:r>
        <w:rPr>
          <w:shd w:val="clear" w:color="auto" w:fill="FFFFFF" w:themeFill="background1"/>
        </w:rPr>
        <w:t>T</w:t>
      </w:r>
      <w:r w:rsidR="00395A70" w:rsidRPr="00FB120D">
        <w:rPr>
          <w:shd w:val="clear" w:color="auto" w:fill="FFFFFF" w:themeFill="background1"/>
        </w:rPr>
        <w:t xml:space="preserve">he </w:t>
      </w:r>
      <w:r w:rsidR="006F5AF4">
        <w:rPr>
          <w:shd w:val="clear" w:color="auto" w:fill="FFFFFF" w:themeFill="background1"/>
        </w:rPr>
        <w:t xml:space="preserve">offence </w:t>
      </w:r>
      <w:r w:rsidR="008F4187">
        <w:rPr>
          <w:shd w:val="clear" w:color="auto" w:fill="FFFFFF" w:themeFill="background1"/>
        </w:rPr>
        <w:t>provision</w:t>
      </w:r>
      <w:r w:rsidR="006F5AF4">
        <w:rPr>
          <w:shd w:val="clear" w:color="auto" w:fill="FFFFFF" w:themeFill="background1"/>
        </w:rPr>
        <w:t xml:space="preserve"> in the context of the </w:t>
      </w:r>
      <w:r w:rsidR="00395A70" w:rsidRPr="00FB120D">
        <w:rPr>
          <w:shd w:val="clear" w:color="auto" w:fill="FFFFFF" w:themeFill="background1"/>
        </w:rPr>
        <w:t xml:space="preserve">relevant </w:t>
      </w:r>
      <w:r w:rsidR="00395A70">
        <w:rPr>
          <w:shd w:val="clear" w:color="auto" w:fill="FFFFFF" w:themeFill="background1"/>
        </w:rPr>
        <w:t xml:space="preserve">Act </w:t>
      </w:r>
      <w:r w:rsidR="00395A70" w:rsidRPr="00FB120D">
        <w:rPr>
          <w:shd w:val="clear" w:color="auto" w:fill="FFFFFF" w:themeFill="background1"/>
        </w:rPr>
        <w:t xml:space="preserve">.  </w:t>
      </w:r>
    </w:p>
    <w:p w14:paraId="0691658D" w14:textId="77777777" w:rsidR="00395A70" w:rsidRPr="000919DC" w:rsidRDefault="00395A70" w:rsidP="00376B47">
      <w:pPr>
        <w:pStyle w:val="Heading1"/>
      </w:pPr>
      <w:bookmarkStart w:id="2" w:name="_Toc111817074"/>
      <w:bookmarkStart w:id="3" w:name="_Toc111817843"/>
      <w:bookmarkStart w:id="4" w:name="_Toc111818082"/>
      <w:bookmarkStart w:id="5" w:name="_Toc111818119"/>
      <w:bookmarkStart w:id="6" w:name="_Toc111818171"/>
      <w:bookmarkStart w:id="7" w:name="_Toc111818172"/>
      <w:bookmarkStart w:id="8" w:name="_Toc163070968"/>
      <w:bookmarkStart w:id="9" w:name="_Toc167362841"/>
      <w:bookmarkEnd w:id="2"/>
      <w:bookmarkEnd w:id="3"/>
      <w:bookmarkEnd w:id="4"/>
      <w:bookmarkEnd w:id="5"/>
      <w:bookmarkEnd w:id="6"/>
      <w:r w:rsidRPr="000919DC">
        <w:t>Summary Matters</w:t>
      </w:r>
      <w:bookmarkEnd w:id="7"/>
      <w:bookmarkEnd w:id="8"/>
      <w:bookmarkEnd w:id="9"/>
    </w:p>
    <w:p w14:paraId="12F197C2" w14:textId="20C630AE" w:rsidR="00395A70" w:rsidRPr="00A85A7C" w:rsidRDefault="00395A70" w:rsidP="000D1B49">
      <w:pPr>
        <w:pStyle w:val="Para1123"/>
      </w:pPr>
      <w:bookmarkStart w:id="10" w:name="_Toc436837647"/>
      <w:r w:rsidRPr="00A85A7C">
        <w:t xml:space="preserve">There is no </w:t>
      </w:r>
      <w:r w:rsidR="0057720C">
        <w:t>c</w:t>
      </w:r>
      <w:r w:rsidRPr="00A85A7C">
        <w:t xml:space="preserve">onstitutional requirement that summary proceedings for a Commonwealth offence be </w:t>
      </w:r>
      <w:r w:rsidR="008C4A17">
        <w:t xml:space="preserve">conducted </w:t>
      </w:r>
      <w:r w:rsidRPr="00A85A7C">
        <w:t xml:space="preserve">in the </w:t>
      </w:r>
      <w:r w:rsidR="004E5052">
        <w:t>S</w:t>
      </w:r>
      <w:r w:rsidRPr="00A85A7C">
        <w:t>tate</w:t>
      </w:r>
      <w:r w:rsidR="004E5052">
        <w:t xml:space="preserve"> or Territory</w:t>
      </w:r>
      <w:r w:rsidRPr="00A85A7C">
        <w:t xml:space="preserve"> in which the offence was alleged </w:t>
      </w:r>
      <w:r w:rsidR="004E5052">
        <w:t>to have been</w:t>
      </w:r>
      <w:r w:rsidRPr="00A85A7C">
        <w:t xml:space="preserve"> committed. </w:t>
      </w:r>
      <w:bookmarkEnd w:id="10"/>
      <w:r w:rsidRPr="00A85A7C">
        <w:t>If the matter can be dealt with summarily, the CDPP can commence</w:t>
      </w:r>
      <w:r w:rsidR="008C4A17">
        <w:t xml:space="preserve"> </w:t>
      </w:r>
      <w:r w:rsidR="0081663D">
        <w:t xml:space="preserve">the </w:t>
      </w:r>
      <w:r w:rsidRPr="00A85A7C">
        <w:t>proceedings</w:t>
      </w:r>
      <w:r w:rsidR="0081663D">
        <w:t xml:space="preserve"> in any jurisdiction</w:t>
      </w:r>
      <w:r w:rsidRPr="00A85A7C">
        <w:t>.</w:t>
      </w:r>
    </w:p>
    <w:p w14:paraId="1D9C22DD" w14:textId="1A4D45D7" w:rsidR="00E34292" w:rsidRPr="00E34292" w:rsidRDefault="00E34292" w:rsidP="000D1B49">
      <w:pPr>
        <w:pStyle w:val="Para1123"/>
      </w:pPr>
      <w:bookmarkStart w:id="11" w:name="_Hlk100581649"/>
      <w:bookmarkStart w:id="12" w:name="_Toc436837648"/>
      <w:r w:rsidRPr="00E34292">
        <w:t xml:space="preserve">It is usually advisable to conduct the summary prosecution of a person in the </w:t>
      </w:r>
      <w:r w:rsidR="005D79EF">
        <w:t xml:space="preserve">State or </w:t>
      </w:r>
      <w:r w:rsidR="004E5052">
        <w:t>T</w:t>
      </w:r>
      <w:r w:rsidR="005D79EF">
        <w:t>erritory</w:t>
      </w:r>
      <w:r w:rsidRPr="00E34292">
        <w:t xml:space="preserve"> in which the offending </w:t>
      </w:r>
      <w:r w:rsidR="004E5052">
        <w:t xml:space="preserve">is </w:t>
      </w:r>
      <w:r w:rsidRPr="00E34292">
        <w:t xml:space="preserve">alleged </w:t>
      </w:r>
      <w:r w:rsidR="004E5052">
        <w:t>to have</w:t>
      </w:r>
      <w:r w:rsidRPr="00E34292">
        <w:t xml:space="preserve"> occurred. Th</w:t>
      </w:r>
      <w:r w:rsidR="004E5052">
        <w:t>at</w:t>
      </w:r>
      <w:r w:rsidRPr="00E34292">
        <w:t xml:space="preserve"> is because the evidence to support the prosecution will usually be available in that jurisdiction. The balance of convenience will often favour a local prosecution. Whil</w:t>
      </w:r>
      <w:r w:rsidR="005D79EF">
        <w:t>e</w:t>
      </w:r>
      <w:r w:rsidRPr="00E34292">
        <w:t xml:space="preserve"> it might be more convenient for a defendant who is alleged to have committed an offence in another </w:t>
      </w:r>
      <w:r w:rsidR="004E5052">
        <w:t>S</w:t>
      </w:r>
      <w:r w:rsidR="005D79EF">
        <w:t xml:space="preserve">tate or </w:t>
      </w:r>
      <w:r w:rsidR="004E5052">
        <w:t>T</w:t>
      </w:r>
      <w:r w:rsidR="005D79EF">
        <w:t>erritory</w:t>
      </w:r>
      <w:r w:rsidRPr="00E34292">
        <w:t xml:space="preserve"> to have their matter heard in the </w:t>
      </w:r>
      <w:r w:rsidR="004E5052">
        <w:t>S</w:t>
      </w:r>
      <w:r w:rsidR="005D79EF">
        <w:t xml:space="preserve">tate or </w:t>
      </w:r>
      <w:r w:rsidR="004E5052">
        <w:t>T</w:t>
      </w:r>
      <w:r w:rsidR="005D79EF">
        <w:t>erritory</w:t>
      </w:r>
      <w:r w:rsidRPr="00E34292">
        <w:t xml:space="preserve"> in which they reside, it might prove to be inconvenient to witnesses or victims. </w:t>
      </w:r>
    </w:p>
    <w:p w14:paraId="72BA5A27" w14:textId="406D750D" w:rsidR="002123CF" w:rsidRDefault="002123CF" w:rsidP="000D1B49">
      <w:pPr>
        <w:pStyle w:val="Para1123"/>
        <w:rPr>
          <w:lang w:eastAsia="en-AU"/>
        </w:rPr>
      </w:pPr>
      <w:bookmarkStart w:id="13" w:name="_Toc94523928"/>
      <w:bookmarkEnd w:id="11"/>
      <w:r w:rsidRPr="002123CF">
        <w:t>Where summary charges have been initiated and a defendant now resides in a different jurisdiction</w:t>
      </w:r>
      <w:r>
        <w:rPr>
          <w:lang w:eastAsia="en-AU"/>
        </w:rPr>
        <w:t xml:space="preserve"> than the jurisdiction in which the offence was alleged to have been committed, care should be exercised before agreeing to transfer </w:t>
      </w:r>
      <w:r w:rsidR="000F02F1">
        <w:rPr>
          <w:lang w:eastAsia="en-AU"/>
        </w:rPr>
        <w:t>the</w:t>
      </w:r>
      <w:r>
        <w:rPr>
          <w:lang w:eastAsia="en-AU"/>
        </w:rPr>
        <w:t xml:space="preserve"> matter to </w:t>
      </w:r>
      <w:r w:rsidR="00780090">
        <w:rPr>
          <w:lang w:eastAsia="en-AU"/>
        </w:rPr>
        <w:t>a differ</w:t>
      </w:r>
      <w:r w:rsidR="00E71E39">
        <w:rPr>
          <w:lang w:eastAsia="en-AU"/>
        </w:rPr>
        <w:t>e</w:t>
      </w:r>
      <w:r w:rsidR="00780090">
        <w:rPr>
          <w:lang w:eastAsia="en-AU"/>
        </w:rPr>
        <w:t xml:space="preserve">nt </w:t>
      </w:r>
      <w:r>
        <w:rPr>
          <w:lang w:eastAsia="en-AU"/>
        </w:rPr>
        <w:t xml:space="preserve">jurisdiction. </w:t>
      </w:r>
      <w:r w:rsidR="00E71E39">
        <w:rPr>
          <w:lang w:eastAsia="en-AU"/>
        </w:rPr>
        <w:t>W</w:t>
      </w:r>
      <w:r w:rsidR="004E5052">
        <w:rPr>
          <w:lang w:eastAsia="en-AU"/>
        </w:rPr>
        <w:t>here the reason for a proposed</w:t>
      </w:r>
      <w:r>
        <w:rPr>
          <w:lang w:eastAsia="en-AU"/>
        </w:rPr>
        <w:t xml:space="preserve"> transfer </w:t>
      </w:r>
      <w:r w:rsidR="004E5052">
        <w:rPr>
          <w:lang w:eastAsia="en-AU"/>
        </w:rPr>
        <w:t xml:space="preserve">is the relocation of the defendant, </w:t>
      </w:r>
      <w:r>
        <w:rPr>
          <w:lang w:eastAsia="en-AU"/>
        </w:rPr>
        <w:t>the decision to transfer summary proceedings to another jurisdiction can be made by a Principal Federal Prosecutor. In all other circumstances, the decision to transfer summary proceedings to another jurisdiction must be made at the Branch Head level or higher (</w:t>
      </w:r>
      <w:r w:rsidR="00010BC2">
        <w:rPr>
          <w:lang w:eastAsia="en-AU"/>
        </w:rPr>
        <w:t xml:space="preserve">the </w:t>
      </w:r>
      <w:r w:rsidR="00010BC2" w:rsidRPr="00CC2D89">
        <w:rPr>
          <w:rFonts w:eastAsia="Times New Roman" w:cs="Calibri"/>
          <w:lang w:eastAsia="en-AU"/>
        </w:rPr>
        <w:t>Decision Making Matrix</w:t>
      </w:r>
      <w:r w:rsidR="00010BC2">
        <w:rPr>
          <w:lang w:eastAsia="en-AU"/>
        </w:rPr>
        <w:t xml:space="preserve"> (</w:t>
      </w:r>
      <w:r w:rsidR="00010BC2">
        <w:rPr>
          <w:b/>
          <w:bCs/>
          <w:lang w:eastAsia="en-AU"/>
        </w:rPr>
        <w:t>DMM</w:t>
      </w:r>
      <w:r w:rsidR="00010BC2" w:rsidRPr="000F02F1">
        <w:rPr>
          <w:lang w:eastAsia="en-AU"/>
        </w:rPr>
        <w:t>)</w:t>
      </w:r>
      <w:r>
        <w:rPr>
          <w:lang w:eastAsia="en-AU"/>
        </w:rPr>
        <w:t xml:space="preserve"> 2.6).</w:t>
      </w:r>
    </w:p>
    <w:p w14:paraId="5D01968A" w14:textId="4567E4AE" w:rsidR="008E5E7C" w:rsidRDefault="008E5E7C" w:rsidP="00376B47">
      <w:pPr>
        <w:pStyle w:val="Heading2"/>
      </w:pPr>
      <w:bookmarkStart w:id="14" w:name="_Toc163070969"/>
      <w:bookmarkStart w:id="15" w:name="_Toc167362842"/>
      <w:bookmarkEnd w:id="13"/>
      <w:r>
        <w:t>Transfer before charges have been served</w:t>
      </w:r>
      <w:bookmarkEnd w:id="14"/>
      <w:bookmarkEnd w:id="15"/>
    </w:p>
    <w:p w14:paraId="39ADB16B" w14:textId="69690029" w:rsidR="008E5E7C" w:rsidRDefault="00417B7A" w:rsidP="000D1B49">
      <w:pPr>
        <w:pStyle w:val="Para1123"/>
        <w:rPr>
          <w:lang w:eastAsia="en-AU"/>
        </w:rPr>
      </w:pPr>
      <w:r>
        <w:rPr>
          <w:lang w:eastAsia="en-AU"/>
        </w:rPr>
        <w:t xml:space="preserve">If a prosecutor becomes aware that a defendant has moved </w:t>
      </w:r>
      <w:r w:rsidR="008E5E7C">
        <w:rPr>
          <w:lang w:eastAsia="en-AU"/>
        </w:rPr>
        <w:t>out of the State in which charges have been laid, but the charges have not yet been served, c</w:t>
      </w:r>
      <w:r w:rsidR="00C40A68">
        <w:rPr>
          <w:lang w:eastAsia="en-AU"/>
        </w:rPr>
        <w:t xml:space="preserve">onsideration should be given to </w:t>
      </w:r>
      <w:r w:rsidR="008E3165">
        <w:rPr>
          <w:lang w:eastAsia="en-AU"/>
        </w:rPr>
        <w:t xml:space="preserve">the </w:t>
      </w:r>
      <w:r w:rsidR="00C40A68">
        <w:rPr>
          <w:lang w:eastAsia="en-AU"/>
        </w:rPr>
        <w:t xml:space="preserve">most </w:t>
      </w:r>
      <w:r w:rsidR="00C40A68">
        <w:rPr>
          <w:lang w:eastAsia="en-AU"/>
        </w:rPr>
        <w:lastRenderedPageBreak/>
        <w:t>appropriate jurisdiction in which to conduct the prosecution having regard to the balance of convenience.</w:t>
      </w:r>
    </w:p>
    <w:p w14:paraId="471531A4" w14:textId="454315F2" w:rsidR="00C40A68" w:rsidRDefault="00C40A68" w:rsidP="005249C0">
      <w:pPr>
        <w:pStyle w:val="Para1123"/>
        <w:keepNext/>
        <w:rPr>
          <w:lang w:eastAsia="en-AU"/>
        </w:rPr>
      </w:pPr>
      <w:r>
        <w:rPr>
          <w:lang w:eastAsia="en-AU"/>
        </w:rPr>
        <w:t>Factors to consider include: </w:t>
      </w:r>
    </w:p>
    <w:p w14:paraId="131E4104" w14:textId="61588F0E" w:rsidR="00C40A68" w:rsidRDefault="00C40A68" w:rsidP="00AE7A30">
      <w:pPr>
        <w:pStyle w:val="Sub-para111213"/>
      </w:pPr>
      <w:r>
        <w:rPr>
          <w:lang w:eastAsia="en-AU"/>
        </w:rPr>
        <w:t>wheth</w:t>
      </w:r>
      <w:r w:rsidRPr="00C40A68">
        <w:t>er it is likely the matter will proceed as a plea</w:t>
      </w:r>
      <w:r>
        <w:rPr>
          <w:lang w:eastAsia="en-AU"/>
        </w:rPr>
        <w:t xml:space="preserve"> of guilty; </w:t>
      </w:r>
    </w:p>
    <w:p w14:paraId="0AB0E12A" w14:textId="5F23D474" w:rsidR="00C40A68" w:rsidRDefault="00D82D25" w:rsidP="00F1765A">
      <w:pPr>
        <w:pStyle w:val="Sub-para111213"/>
      </w:pPr>
      <w:r w:rsidRPr="00942EF9">
        <w:t>the number of witnesses required if the matter goes to hearing and their location</w:t>
      </w:r>
      <w:r w:rsidR="00C40A68">
        <w:rPr>
          <w:lang w:eastAsia="en-AU"/>
        </w:rPr>
        <w:t>; and </w:t>
      </w:r>
    </w:p>
    <w:p w14:paraId="3EBAD044" w14:textId="77777777" w:rsidR="00C40A68" w:rsidRDefault="00C40A68" w:rsidP="00F1765A">
      <w:pPr>
        <w:pStyle w:val="Sub-para111213"/>
      </w:pPr>
      <w:r>
        <w:t>any other factor that would make it impractical or inconvenient to institute proceedings where the brief has been referred. </w:t>
      </w:r>
    </w:p>
    <w:p w14:paraId="386E3747" w14:textId="34EE397A" w:rsidR="00395A70" w:rsidRPr="0028573C" w:rsidRDefault="00E12C4E" w:rsidP="000D1B49">
      <w:pPr>
        <w:pStyle w:val="Para1123"/>
      </w:pPr>
      <w:r>
        <w:t xml:space="preserve">Prosecutors should </w:t>
      </w:r>
      <w:r w:rsidRPr="00AE7A30">
        <w:rPr>
          <w:b/>
          <w:bCs/>
        </w:rPr>
        <w:t>not</w:t>
      </w:r>
      <w:r>
        <w:t xml:space="preserve"> approach the defendant </w:t>
      </w:r>
      <w:r w:rsidR="00395A70" w:rsidRPr="0028573C">
        <w:t xml:space="preserve">before charges are </w:t>
      </w:r>
      <w:r w:rsidR="0043154F">
        <w:t>served</w:t>
      </w:r>
      <w:r w:rsidR="00395A70" w:rsidRPr="0028573C">
        <w:t xml:space="preserve"> to ascertain how the</w:t>
      </w:r>
      <w:r>
        <w:t xml:space="preserve"> defendant</w:t>
      </w:r>
      <w:r w:rsidR="00395A70" w:rsidRPr="0028573C">
        <w:t xml:space="preserve"> intend</w:t>
      </w:r>
      <w:r>
        <w:t>s</w:t>
      </w:r>
      <w:r w:rsidR="00395A70" w:rsidRPr="0028573C">
        <w:t xml:space="preserve"> to plead.</w:t>
      </w:r>
    </w:p>
    <w:p w14:paraId="5E60F209" w14:textId="789F223B" w:rsidR="008E5E7C" w:rsidRPr="0028573C" w:rsidRDefault="008E5E7C" w:rsidP="00376B47">
      <w:pPr>
        <w:pStyle w:val="Heading2"/>
      </w:pPr>
      <w:bookmarkStart w:id="16" w:name="_Toc163070970"/>
      <w:bookmarkStart w:id="17" w:name="_Toc167362843"/>
      <w:r>
        <w:t>Transfer after charges have been served</w:t>
      </w:r>
      <w:bookmarkEnd w:id="16"/>
      <w:bookmarkEnd w:id="17"/>
    </w:p>
    <w:p w14:paraId="24366889" w14:textId="52371BD8" w:rsidR="00E12C4E" w:rsidRDefault="00942EF9" w:rsidP="000D1B49">
      <w:pPr>
        <w:pStyle w:val="Para1123"/>
      </w:pPr>
      <w:r>
        <w:rPr>
          <w:lang w:eastAsia="en-AU"/>
        </w:rPr>
        <w:t xml:space="preserve">If a defendant </w:t>
      </w:r>
      <w:r w:rsidR="00CD2090">
        <w:rPr>
          <w:lang w:eastAsia="en-AU"/>
        </w:rPr>
        <w:t>moves</w:t>
      </w:r>
      <w:r>
        <w:rPr>
          <w:lang w:eastAsia="en-AU"/>
        </w:rPr>
        <w:t xml:space="preserve"> interstate</w:t>
      </w:r>
      <w:r w:rsidR="008E5E7C">
        <w:rPr>
          <w:lang w:eastAsia="en-AU"/>
        </w:rPr>
        <w:t xml:space="preserve"> after charges have been served, the matter </w:t>
      </w:r>
      <w:r w:rsidR="00395A70" w:rsidRPr="000919DC">
        <w:t xml:space="preserve">should only be transferred where the balance of convenience is strongly against proceeding where charges have been laid.  </w:t>
      </w:r>
    </w:p>
    <w:p w14:paraId="223AD4BD" w14:textId="64978782" w:rsidR="00395A70" w:rsidRPr="000919DC" w:rsidRDefault="00395A70" w:rsidP="00AE7A30">
      <w:pPr>
        <w:pStyle w:val="Para1123"/>
        <w:keepNext/>
      </w:pPr>
      <w:r w:rsidRPr="000919DC">
        <w:t>Factors to consider include:</w:t>
      </w:r>
    </w:p>
    <w:p w14:paraId="46000CD5" w14:textId="77777777" w:rsidR="00395A70" w:rsidRPr="00942EF9" w:rsidRDefault="00395A70" w:rsidP="00F1765A">
      <w:pPr>
        <w:pStyle w:val="Sub-para111213"/>
      </w:pPr>
      <w:r w:rsidRPr="00942EF9">
        <w:t>whether a plea of guilty has been indicated;</w:t>
      </w:r>
    </w:p>
    <w:p w14:paraId="0AF92DBC" w14:textId="6A35DE99" w:rsidR="00395A70" w:rsidRPr="00942EF9" w:rsidRDefault="00395A70" w:rsidP="00F1765A">
      <w:pPr>
        <w:pStyle w:val="Sub-para111213"/>
      </w:pPr>
      <w:r w:rsidRPr="00942EF9">
        <w:t>the number of witnesses required if the matter goes to hearing and their location;</w:t>
      </w:r>
      <w:r w:rsidR="001B0E38" w:rsidRPr="00942EF9">
        <w:t xml:space="preserve"> and</w:t>
      </w:r>
    </w:p>
    <w:p w14:paraId="145C3D6C" w14:textId="77777777" w:rsidR="00395A70" w:rsidRPr="00942EF9" w:rsidRDefault="00395A70" w:rsidP="00F1765A">
      <w:pPr>
        <w:pStyle w:val="Sub-para111213"/>
      </w:pPr>
      <w:r w:rsidRPr="00942EF9">
        <w:t>any other factor that would make it impractical or inconvenient to prosecute the matter where it was charged.</w:t>
      </w:r>
    </w:p>
    <w:p w14:paraId="31AD0D96" w14:textId="27340AD5" w:rsidR="00395A70" w:rsidRPr="000919DC" w:rsidRDefault="001B0E38" w:rsidP="000D1B49">
      <w:pPr>
        <w:pStyle w:val="Para1123"/>
      </w:pPr>
      <w:r>
        <w:t>B</w:t>
      </w:r>
      <w:r w:rsidRPr="000919DC">
        <w:t xml:space="preserve">efore deciding to transfer the matter to </w:t>
      </w:r>
      <w:r w:rsidR="004E5052">
        <w:t>another</w:t>
      </w:r>
      <w:r w:rsidR="004E5052" w:rsidRPr="000919DC">
        <w:t xml:space="preserve"> </w:t>
      </w:r>
      <w:r w:rsidRPr="000919DC">
        <w:t>jurisdiction and withdraw the current charges</w:t>
      </w:r>
      <w:r>
        <w:t xml:space="preserve">, case officers and Prosecution Team Leaders </w:t>
      </w:r>
      <w:r w:rsidR="00395A70" w:rsidRPr="000919DC">
        <w:t>should consult with the</w:t>
      </w:r>
      <w:r>
        <w:t xml:space="preserve"> relevant </w:t>
      </w:r>
      <w:r w:rsidR="0087046C">
        <w:t>B</w:t>
      </w:r>
      <w:r>
        <w:t xml:space="preserve">ranch </w:t>
      </w:r>
      <w:r w:rsidR="0087046C">
        <w:t>H</w:t>
      </w:r>
      <w:r>
        <w:t>ead</w:t>
      </w:r>
      <w:r w:rsidR="00395A70" w:rsidRPr="000919DC">
        <w:t xml:space="preserve"> in the </w:t>
      </w:r>
      <w:r w:rsidR="0087046C">
        <w:t>receiving</w:t>
      </w:r>
      <w:r w:rsidR="0087046C" w:rsidRPr="000919DC">
        <w:t xml:space="preserve"> </w:t>
      </w:r>
      <w:r w:rsidR="00395A70" w:rsidRPr="000919DC">
        <w:t xml:space="preserve">jurisdiction, particularly if </w:t>
      </w:r>
      <w:r w:rsidR="0079344D">
        <w:t xml:space="preserve">the defendant has indicated </w:t>
      </w:r>
      <w:r w:rsidR="00395A70" w:rsidRPr="000919DC">
        <w:t xml:space="preserve">a plea of not guilty.  </w:t>
      </w:r>
    </w:p>
    <w:p w14:paraId="3C29BD05" w14:textId="35D6E746" w:rsidR="008E5E7C" w:rsidRDefault="00ED62AB" w:rsidP="000D1B49">
      <w:pPr>
        <w:pStyle w:val="Para1123"/>
      </w:pPr>
      <w:r w:rsidRPr="003676C8">
        <w:t xml:space="preserve">If the matter is transferred to another </w:t>
      </w:r>
      <w:r w:rsidR="004E5052">
        <w:t>jurisdiction</w:t>
      </w:r>
      <w:r w:rsidRPr="003676C8">
        <w:t xml:space="preserve">, the proceedings on foot must be withdrawn. </w:t>
      </w:r>
    </w:p>
    <w:p w14:paraId="345B70E1" w14:textId="2EDC5898" w:rsidR="00020229" w:rsidRDefault="003103F5" w:rsidP="000D1B49">
      <w:pPr>
        <w:pStyle w:val="Para1123"/>
      </w:pPr>
      <w:r>
        <w:t>However, i</w:t>
      </w:r>
      <w:r w:rsidR="00ED62AB" w:rsidRPr="003676C8">
        <w:t xml:space="preserve">t may be appropriate for </w:t>
      </w:r>
      <w:r w:rsidR="004E5052">
        <w:t xml:space="preserve">the original </w:t>
      </w:r>
      <w:r w:rsidR="00ED62AB" w:rsidRPr="003676C8">
        <w:t xml:space="preserve">proceedings to remain on foot until the new proceedings have been initiated, served and there has been an appearance at the first mention. </w:t>
      </w:r>
    </w:p>
    <w:p w14:paraId="3326C91A" w14:textId="563F9E87" w:rsidR="008E5E7C" w:rsidRDefault="00020229" w:rsidP="000D1B49">
      <w:pPr>
        <w:pStyle w:val="Para1123"/>
      </w:pPr>
      <w:r>
        <w:t>I</w:t>
      </w:r>
      <w:r w:rsidR="008E5E7C">
        <w:t>t</w:t>
      </w:r>
      <w:r w:rsidR="00ED62AB" w:rsidRPr="003676C8">
        <w:t xml:space="preserve"> is essential the prosecutors in each jurisdiction </w:t>
      </w:r>
      <w:r w:rsidR="004E5052">
        <w:t xml:space="preserve">liaise </w:t>
      </w:r>
      <w:r w:rsidR="00ED62AB" w:rsidRPr="003676C8">
        <w:t xml:space="preserve">to ensure that the </w:t>
      </w:r>
      <w:r w:rsidR="004E5052">
        <w:t>original</w:t>
      </w:r>
      <w:r w:rsidR="00ED62AB" w:rsidRPr="003676C8">
        <w:t xml:space="preserve"> proceedings are discontinued </w:t>
      </w:r>
      <w:r w:rsidR="004E5052">
        <w:t>so</w:t>
      </w:r>
      <w:r w:rsidR="004E5052" w:rsidRPr="003676C8">
        <w:t xml:space="preserve"> </w:t>
      </w:r>
      <w:r w:rsidR="00ED62AB" w:rsidRPr="003676C8">
        <w:t xml:space="preserve">that a warrant is not issued in </w:t>
      </w:r>
      <w:r w:rsidR="004E5052">
        <w:t>the original</w:t>
      </w:r>
      <w:r w:rsidR="004E5052" w:rsidRPr="003676C8">
        <w:t xml:space="preserve"> </w:t>
      </w:r>
      <w:r w:rsidR="00ED62AB" w:rsidRPr="003676C8">
        <w:t xml:space="preserve">jurisdiction for charges that </w:t>
      </w:r>
      <w:r w:rsidR="004E5052">
        <w:t>are being</w:t>
      </w:r>
      <w:r w:rsidR="00BD57FA">
        <w:t>,</w:t>
      </w:r>
      <w:r w:rsidR="004E5052">
        <w:t xml:space="preserve"> or </w:t>
      </w:r>
      <w:r w:rsidR="00ED62AB" w:rsidRPr="003676C8">
        <w:t>may have been</w:t>
      </w:r>
      <w:r w:rsidR="00BD57FA">
        <w:t>,</w:t>
      </w:r>
      <w:r w:rsidR="00ED62AB" w:rsidRPr="003676C8">
        <w:t xml:space="preserve"> dealt with in another jurisdiction.  </w:t>
      </w:r>
    </w:p>
    <w:p w14:paraId="593D8661" w14:textId="1721D4CB" w:rsidR="00ED62AB" w:rsidRPr="003676C8" w:rsidRDefault="00ED62AB" w:rsidP="000D1B49">
      <w:pPr>
        <w:pStyle w:val="Para1123"/>
      </w:pPr>
      <w:r w:rsidRPr="003676C8">
        <w:t xml:space="preserve">It is </w:t>
      </w:r>
      <w:r w:rsidRPr="00792C86">
        <w:rPr>
          <w:b/>
        </w:rPr>
        <w:t>not</w:t>
      </w:r>
      <w:r w:rsidRPr="003676C8">
        <w:t xml:space="preserve"> appropriate for the original proceedings to remain on foot until the finalisation of the new proceedings.</w:t>
      </w:r>
      <w:r w:rsidR="007C301D" w:rsidRPr="007C301D">
        <w:t xml:space="preserve"> </w:t>
      </w:r>
      <w:r w:rsidR="007C301D" w:rsidRPr="003676C8">
        <w:t xml:space="preserve">Two separate court proceedings in relation to the same alleged conduct should not be in place for any longer than is absolutely necessary to give effect to the </w:t>
      </w:r>
      <w:r w:rsidR="007C301D">
        <w:t>“</w:t>
      </w:r>
      <w:r w:rsidR="007C301D" w:rsidRPr="003676C8">
        <w:t>transfer</w:t>
      </w:r>
      <w:r w:rsidR="007C301D">
        <w:t>”</w:t>
      </w:r>
      <w:r w:rsidR="007C301D" w:rsidRPr="003676C8">
        <w:t>.</w:t>
      </w:r>
    </w:p>
    <w:p w14:paraId="2802740A" w14:textId="61B17CAE" w:rsidR="00395A70" w:rsidRPr="00A65D3E" w:rsidRDefault="00395A70" w:rsidP="00AE7A30">
      <w:pPr>
        <w:pStyle w:val="Heading2"/>
      </w:pPr>
      <w:bookmarkStart w:id="18" w:name="_Toc111818173"/>
      <w:bookmarkStart w:id="19" w:name="_Toc94523930"/>
      <w:bookmarkStart w:id="20" w:name="_Toc163070971"/>
      <w:bookmarkStart w:id="21" w:name="_Toc167362844"/>
      <w:r w:rsidRPr="00A65D3E">
        <w:t>Ex-parte convictions</w:t>
      </w:r>
      <w:bookmarkEnd w:id="18"/>
      <w:r w:rsidRPr="00A65D3E">
        <w:t xml:space="preserve"> </w:t>
      </w:r>
      <w:bookmarkEnd w:id="19"/>
      <w:bookmarkEnd w:id="20"/>
      <w:r w:rsidR="00A929F8" w:rsidRPr="00A929F8">
        <w:t>following a failure to appear</w:t>
      </w:r>
      <w:bookmarkEnd w:id="21"/>
    </w:p>
    <w:p w14:paraId="12CBF78C" w14:textId="57B00D58" w:rsidR="00A670EA" w:rsidRDefault="00395A70" w:rsidP="000D1B49">
      <w:pPr>
        <w:pStyle w:val="Para1123"/>
      </w:pPr>
      <w:r w:rsidRPr="000919DC">
        <w:t xml:space="preserve">In </w:t>
      </w:r>
      <w:r w:rsidR="00A66D6F">
        <w:t>each</w:t>
      </w:r>
      <w:r w:rsidRPr="000919DC">
        <w:t xml:space="preserve"> </w:t>
      </w:r>
      <w:r w:rsidR="004E5052">
        <w:t>S</w:t>
      </w:r>
      <w:r w:rsidRPr="000919DC">
        <w:t xml:space="preserve">tate and </w:t>
      </w:r>
      <w:r w:rsidR="004E5052">
        <w:t>T</w:t>
      </w:r>
      <w:r w:rsidRPr="000919DC">
        <w:t>erritor</w:t>
      </w:r>
      <w:r w:rsidR="00A66D6F">
        <w:t>y</w:t>
      </w:r>
      <w:r w:rsidRPr="000919DC">
        <w:t xml:space="preserve">, </w:t>
      </w:r>
      <w:r w:rsidR="006E1BD5">
        <w:t>if a defendant fails to appear</w:t>
      </w:r>
      <w:r w:rsidR="001B11C8">
        <w:t xml:space="preserve"> after being served</w:t>
      </w:r>
      <w:r w:rsidR="003370AE">
        <w:t xml:space="preserve"> and</w:t>
      </w:r>
      <w:r w:rsidR="00F529C2">
        <w:t xml:space="preserve"> certain circumstances are met</w:t>
      </w:r>
      <w:r w:rsidR="005B580D">
        <w:t>,</w:t>
      </w:r>
      <w:r w:rsidR="006E1BD5">
        <w:t xml:space="preserve"> </w:t>
      </w:r>
      <w:r w:rsidRPr="000919DC">
        <w:t>a Court may deal with a summary offence in the absence of the defendant, including by entering a conviction and imposing a penalty.</w:t>
      </w:r>
      <w:r w:rsidR="00A66D6F" w:rsidRPr="000919DC">
        <w:rPr>
          <w:rStyle w:val="FootnoteReference"/>
          <w:rFonts w:cstheme="minorHAnsi"/>
        </w:rPr>
        <w:footnoteReference w:id="5"/>
      </w:r>
      <w:r w:rsidRPr="000919DC" w:rsidDel="00CF1003">
        <w:t xml:space="preserve"> </w:t>
      </w:r>
      <w:r w:rsidR="0077577F">
        <w:t>This can occur where a</w:t>
      </w:r>
      <w:r w:rsidRPr="000919DC">
        <w:t xml:space="preserve"> defendant has moved interstate.</w:t>
      </w:r>
      <w:r w:rsidR="000B25A5">
        <w:t xml:space="preserve"> </w:t>
      </w:r>
    </w:p>
    <w:p w14:paraId="012A7B3A" w14:textId="1A25E837" w:rsidR="00395A70" w:rsidRPr="000919DC" w:rsidRDefault="00EA0B1C" w:rsidP="000D1B49">
      <w:pPr>
        <w:pStyle w:val="Para1123"/>
      </w:pPr>
      <w:r>
        <w:t>W</w:t>
      </w:r>
      <w:r w:rsidR="00395A70" w:rsidRPr="000919DC">
        <w:t xml:space="preserve">here a </w:t>
      </w:r>
      <w:r w:rsidR="00717EB4">
        <w:t>defendant</w:t>
      </w:r>
      <w:r w:rsidR="00395A70" w:rsidRPr="000919DC">
        <w:t xml:space="preserve"> has been convicted but not yet sentenced, the CDPP would </w:t>
      </w:r>
      <w:r w:rsidR="00395A70" w:rsidRPr="00287F2C">
        <w:rPr>
          <w:b/>
          <w:bCs/>
        </w:rPr>
        <w:t>not</w:t>
      </w:r>
      <w:r w:rsidR="00395A70" w:rsidRPr="000919DC">
        <w:t xml:space="preserve"> </w:t>
      </w:r>
      <w:r w:rsidR="00623AC7">
        <w:t>proactively</w:t>
      </w:r>
      <w:r w:rsidR="00623AC7" w:rsidRPr="000919DC">
        <w:t xml:space="preserve"> </w:t>
      </w:r>
      <w:r w:rsidR="00395A70" w:rsidRPr="000919DC">
        <w:t xml:space="preserve">seek to annul the conviction </w:t>
      </w:r>
      <w:r w:rsidR="004E5052">
        <w:t>to</w:t>
      </w:r>
      <w:r w:rsidR="004E5052" w:rsidRPr="000919DC">
        <w:t xml:space="preserve"> </w:t>
      </w:r>
      <w:r w:rsidR="00395A70" w:rsidRPr="000919DC">
        <w:t xml:space="preserve">transfer </w:t>
      </w:r>
      <w:r w:rsidR="00B07979">
        <w:t xml:space="preserve">and </w:t>
      </w:r>
      <w:r w:rsidR="00CD4302">
        <w:t xml:space="preserve">reinstitute proceedings </w:t>
      </w:r>
      <w:r w:rsidR="00395A70" w:rsidRPr="000919DC">
        <w:t xml:space="preserve">in another </w:t>
      </w:r>
      <w:r w:rsidR="004E5052">
        <w:t xml:space="preserve">State </w:t>
      </w:r>
      <w:r w:rsidR="005D79EF">
        <w:t xml:space="preserve">or </w:t>
      </w:r>
      <w:r w:rsidR="004E5052">
        <w:t>T</w:t>
      </w:r>
      <w:r w:rsidR="005D79EF">
        <w:t>erritory</w:t>
      </w:r>
      <w:r w:rsidR="00395A70" w:rsidRPr="000919DC">
        <w:t xml:space="preserve">. </w:t>
      </w:r>
      <w:r w:rsidR="00623AC7">
        <w:lastRenderedPageBreak/>
        <w:t>If</w:t>
      </w:r>
      <w:r w:rsidR="00717EB4">
        <w:t> </w:t>
      </w:r>
      <w:r w:rsidR="00623AC7">
        <w:t xml:space="preserve">requested to consider </w:t>
      </w:r>
      <w:r w:rsidR="00717EB4">
        <w:t xml:space="preserve">or respond to an </w:t>
      </w:r>
      <w:r w:rsidR="00623AC7">
        <w:t xml:space="preserve">annulment </w:t>
      </w:r>
      <w:r w:rsidR="00717EB4">
        <w:t xml:space="preserve">application </w:t>
      </w:r>
      <w:r w:rsidR="00623AC7">
        <w:t>and transfer</w:t>
      </w:r>
      <w:r w:rsidRPr="000919DC">
        <w:t>, prosecutors should have regard to relevant statutory provisions in their jurisdiction</w:t>
      </w:r>
      <w:r w:rsidR="00A61B46">
        <w:t xml:space="preserve"> and the balance of convenience</w:t>
      </w:r>
      <w:r w:rsidRPr="000919DC">
        <w:t xml:space="preserve"> before determining </w:t>
      </w:r>
      <w:r w:rsidR="000B4408">
        <w:t>the appropriate response</w:t>
      </w:r>
      <w:r w:rsidRPr="000919DC">
        <w:t>.</w:t>
      </w:r>
    </w:p>
    <w:p w14:paraId="55C62082" w14:textId="77777777" w:rsidR="00395A70" w:rsidRPr="000919DC" w:rsidRDefault="00395A70" w:rsidP="00376B47">
      <w:pPr>
        <w:pStyle w:val="Heading1"/>
        <w:rPr>
          <w:lang w:val="en-US"/>
        </w:rPr>
      </w:pPr>
      <w:bookmarkStart w:id="22" w:name="_Toc111817077"/>
      <w:bookmarkStart w:id="23" w:name="_Toc111817846"/>
      <w:bookmarkStart w:id="24" w:name="_Toc111818085"/>
      <w:bookmarkStart w:id="25" w:name="_Toc111818122"/>
      <w:bookmarkStart w:id="26" w:name="_Toc111818174"/>
      <w:bookmarkStart w:id="27" w:name="_Toc111817078"/>
      <w:bookmarkStart w:id="28" w:name="_Toc111817847"/>
      <w:bookmarkStart w:id="29" w:name="_Toc111818086"/>
      <w:bookmarkStart w:id="30" w:name="_Toc111818123"/>
      <w:bookmarkStart w:id="31" w:name="_Toc111818175"/>
      <w:bookmarkStart w:id="32" w:name="_Toc111817079"/>
      <w:bookmarkStart w:id="33" w:name="_Toc111817848"/>
      <w:bookmarkStart w:id="34" w:name="_Toc111818087"/>
      <w:bookmarkStart w:id="35" w:name="_Toc111818124"/>
      <w:bookmarkStart w:id="36" w:name="_Toc111818176"/>
      <w:bookmarkStart w:id="37" w:name="_Toc94523931"/>
      <w:bookmarkStart w:id="38" w:name="_Toc111818177"/>
      <w:bookmarkStart w:id="39" w:name="_Toc163070972"/>
      <w:bookmarkStart w:id="40" w:name="_Toc16736284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0919DC">
        <w:rPr>
          <w:lang w:val="en-US"/>
        </w:rPr>
        <w:t>Indictable Matters</w:t>
      </w:r>
      <w:bookmarkEnd w:id="37"/>
      <w:bookmarkEnd w:id="38"/>
      <w:bookmarkEnd w:id="39"/>
      <w:bookmarkEnd w:id="40"/>
    </w:p>
    <w:p w14:paraId="2CD9FD29" w14:textId="4F21B2AF" w:rsidR="00395A70" w:rsidRPr="000919DC" w:rsidRDefault="006E0B02" w:rsidP="00DF7079">
      <w:pPr>
        <w:pStyle w:val="Para1123"/>
      </w:pPr>
      <w:bookmarkStart w:id="41" w:name="_Hlk101866880"/>
      <w:r>
        <w:t xml:space="preserve">Indictable matters should generally be prosecuted in the </w:t>
      </w:r>
      <w:r w:rsidR="00334E71">
        <w:t>jurisdiction</w:t>
      </w:r>
      <w:r w:rsidR="00507EAA">
        <w:t xml:space="preserve"> </w:t>
      </w:r>
      <w:r>
        <w:t>in which the offence is alleged to have occurred.</w:t>
      </w:r>
      <w:r w:rsidR="00DF7079">
        <w:t xml:space="preserve"> </w:t>
      </w:r>
      <w:r w:rsidR="004E5052">
        <w:t>It is less common to t</w:t>
      </w:r>
      <w:r w:rsidR="00395A70" w:rsidRPr="000919DC">
        <w:t>ransfer indictable matters.</w:t>
      </w:r>
    </w:p>
    <w:p w14:paraId="3FDA9A39" w14:textId="17602708" w:rsidR="008E5E7C" w:rsidRPr="000919DC" w:rsidRDefault="008E5E7C" w:rsidP="00376B47">
      <w:pPr>
        <w:pStyle w:val="Heading2"/>
      </w:pPr>
      <w:bookmarkStart w:id="42" w:name="_Toc163070973"/>
      <w:bookmarkStart w:id="43" w:name="_Toc167362846"/>
      <w:bookmarkEnd w:id="41"/>
      <w:r>
        <w:t>Offences committed in a State</w:t>
      </w:r>
      <w:bookmarkEnd w:id="42"/>
      <w:bookmarkEnd w:id="43"/>
    </w:p>
    <w:p w14:paraId="2E7D3E16" w14:textId="77777777" w:rsidR="00D655B7" w:rsidRDefault="00123570" w:rsidP="000D1B49">
      <w:pPr>
        <w:pStyle w:val="Para1123"/>
      </w:pPr>
      <w:r w:rsidRPr="00123570">
        <w:t xml:space="preserve">The trial on indictment of a Commonwealth offence must be held in the </w:t>
      </w:r>
      <w:r w:rsidR="004E5052">
        <w:t>S</w:t>
      </w:r>
      <w:r w:rsidR="004E5052" w:rsidRPr="00123570">
        <w:t xml:space="preserve">tate </w:t>
      </w:r>
      <w:r w:rsidRPr="00123570">
        <w:t>where the offence was committed.</w:t>
      </w:r>
      <w:r w:rsidRPr="00123570">
        <w:rPr>
          <w:rStyle w:val="FootnoteReference"/>
        </w:rPr>
        <w:footnoteReference w:id="6"/>
      </w:r>
      <w:r>
        <w:t xml:space="preserve"> </w:t>
      </w:r>
      <w:r w:rsidRPr="00123570">
        <w:t>This is a mandatory requirement which cannot be waived by a defendant or the prosecution.</w:t>
      </w:r>
      <w:r w:rsidRPr="00123570">
        <w:rPr>
          <w:rStyle w:val="FootnoteReference"/>
        </w:rPr>
        <w:footnoteReference w:id="7"/>
      </w:r>
      <w:r w:rsidRPr="00123570">
        <w:t> </w:t>
      </w:r>
    </w:p>
    <w:p w14:paraId="7599B45A" w14:textId="6638DCD8" w:rsidR="00123570" w:rsidRPr="00123570" w:rsidRDefault="00123570" w:rsidP="000D1B49">
      <w:pPr>
        <w:pStyle w:val="Para1123"/>
      </w:pPr>
      <w:r w:rsidRPr="00123570">
        <w:t xml:space="preserve">Where a Commonwealth indictable offence is committed wholly in one </w:t>
      </w:r>
      <w:r w:rsidR="008E5E7C">
        <w:t>S</w:t>
      </w:r>
      <w:r w:rsidR="008E5E7C" w:rsidRPr="00123570">
        <w:t>tate</w:t>
      </w:r>
      <w:r w:rsidRPr="00123570">
        <w:t xml:space="preserve">, any trial on indictment of that matter must be prosecuted in that </w:t>
      </w:r>
      <w:r w:rsidR="00C20D67">
        <w:t>s</w:t>
      </w:r>
      <w:r w:rsidRPr="00123570">
        <w:t>tate.</w:t>
      </w:r>
    </w:p>
    <w:p w14:paraId="292B231F" w14:textId="2A16DD34" w:rsidR="008E5E7C" w:rsidRDefault="00744918" w:rsidP="000D1B49">
      <w:pPr>
        <w:pStyle w:val="Para1123"/>
      </w:pPr>
      <w:r>
        <w:t>In all other cases, including w</w:t>
      </w:r>
      <w:r w:rsidR="00123570" w:rsidRPr="00123570">
        <w:t xml:space="preserve">here an offence is alleged to have begun in one </w:t>
      </w:r>
      <w:r w:rsidR="00B0764D">
        <w:t>S</w:t>
      </w:r>
      <w:r w:rsidR="00123570" w:rsidRPr="00123570">
        <w:t xml:space="preserve">tate or part of the Commonwealth and completed in another </w:t>
      </w:r>
      <w:r w:rsidR="00B0764D">
        <w:t>S</w:t>
      </w:r>
      <w:r w:rsidR="00123570" w:rsidRPr="00123570">
        <w:t>tate, or</w:t>
      </w:r>
      <w:r w:rsidR="00014909">
        <w:t xml:space="preserve"> </w:t>
      </w:r>
      <w:r w:rsidR="00123570" w:rsidRPr="00123570">
        <w:t xml:space="preserve">not committed in any </w:t>
      </w:r>
      <w:r w:rsidR="00B0764D">
        <w:t>S</w:t>
      </w:r>
      <w:r w:rsidR="00B0764D" w:rsidRPr="00123570">
        <w:t xml:space="preserve">tate </w:t>
      </w:r>
      <w:r w:rsidR="00123570" w:rsidRPr="00123570">
        <w:t xml:space="preserve">and not being an offence to which </w:t>
      </w:r>
      <w:r w:rsidR="00B0764D">
        <w:t>s </w:t>
      </w:r>
      <w:r w:rsidR="00123570" w:rsidRPr="00123570">
        <w:t xml:space="preserve">70 of the </w:t>
      </w:r>
      <w:r w:rsidR="00123570" w:rsidRPr="007F46F6">
        <w:rPr>
          <w:i/>
          <w:iCs/>
        </w:rPr>
        <w:t>Judiciary Act</w:t>
      </w:r>
      <w:r w:rsidR="00123570" w:rsidRPr="00123570">
        <w:t xml:space="preserve"> applies,</w:t>
      </w:r>
      <w:r w:rsidR="00B13F86">
        <w:rPr>
          <w:rStyle w:val="FootnoteReference"/>
        </w:rPr>
        <w:footnoteReference w:id="8"/>
      </w:r>
      <w:r w:rsidR="00123570" w:rsidRPr="00123570">
        <w:t xml:space="preserve"> the prosecutor should consider the most appropriate jurisdiction in which to prosecute. </w:t>
      </w:r>
      <w:r w:rsidR="00B0764D">
        <w:t>That requires c</w:t>
      </w:r>
      <w:r w:rsidR="00123570" w:rsidRPr="00123570">
        <w:t xml:space="preserve">areful analysis of the elements of the offence </w:t>
      </w:r>
      <w:r w:rsidR="00B0764D">
        <w:t xml:space="preserve">as </w:t>
      </w:r>
      <w:r w:rsidR="00123570" w:rsidRPr="00123570">
        <w:t>charged and the evidence.</w:t>
      </w:r>
      <w:r w:rsidR="00123570" w:rsidRPr="00121143">
        <w:rPr>
          <w:rStyle w:val="FootnoteReference"/>
        </w:rPr>
        <w:footnoteReference w:id="9"/>
      </w:r>
      <w:r w:rsidR="00123570" w:rsidRPr="00123570">
        <w:t xml:space="preserve">  </w:t>
      </w:r>
    </w:p>
    <w:p w14:paraId="5B8E391D" w14:textId="2F56C82C" w:rsidR="000C3B80" w:rsidRPr="00FC13B4" w:rsidRDefault="003E7F6B" w:rsidP="000D1B49">
      <w:pPr>
        <w:pStyle w:val="Para1123"/>
      </w:pPr>
      <w:r>
        <w:t>Where</w:t>
      </w:r>
      <w:r w:rsidR="003502D7">
        <w:t xml:space="preserve"> proceedings c</w:t>
      </w:r>
      <w:r w:rsidR="00237FC4">
        <w:t>an</w:t>
      </w:r>
      <w:r w:rsidR="003502D7">
        <w:t xml:space="preserve"> reasonably be instituted in two or more jurisdictions, </w:t>
      </w:r>
      <w:r w:rsidR="000C3B80">
        <w:t xml:space="preserve">s 70A </w:t>
      </w:r>
      <w:r w:rsidR="00945FE1">
        <w:t xml:space="preserve">of the </w:t>
      </w:r>
      <w:r w:rsidR="00945FE1" w:rsidRPr="007F46F6">
        <w:rPr>
          <w:i/>
          <w:iCs/>
        </w:rPr>
        <w:t>Judi</w:t>
      </w:r>
      <w:r w:rsidR="00FC13B4" w:rsidRPr="007F46F6">
        <w:rPr>
          <w:i/>
          <w:iCs/>
        </w:rPr>
        <w:t>cia</w:t>
      </w:r>
      <w:r w:rsidR="00945FE1" w:rsidRPr="007F46F6">
        <w:rPr>
          <w:i/>
          <w:iCs/>
        </w:rPr>
        <w:t>ry Act</w:t>
      </w:r>
      <w:r w:rsidR="00945FE1" w:rsidRPr="00AE7A30">
        <w:t xml:space="preserve"> effectively </w:t>
      </w:r>
      <w:r w:rsidR="00FC13B4">
        <w:t>“</w:t>
      </w:r>
      <w:r w:rsidR="00FC13B4" w:rsidRPr="00AE7A30">
        <w:t>gives the prosecuting authorities a discretion as to the place where a trial on indictment will be held</w:t>
      </w:r>
      <w:r w:rsidR="00FC13B4">
        <w:t>”</w:t>
      </w:r>
      <w:r w:rsidR="00CF2BF2">
        <w:t>.</w:t>
      </w:r>
      <w:r w:rsidR="00EA1E9D">
        <w:rPr>
          <w:rStyle w:val="FootnoteReference"/>
        </w:rPr>
        <w:footnoteReference w:id="10"/>
      </w:r>
      <w:r w:rsidR="00CF2BF2">
        <w:t xml:space="preserve"> </w:t>
      </w:r>
    </w:p>
    <w:p w14:paraId="52973773" w14:textId="523DCDFC" w:rsidR="00425616" w:rsidRDefault="003F0BC6" w:rsidP="00AE7A30">
      <w:pPr>
        <w:pStyle w:val="Para1123"/>
        <w:keepNext/>
      </w:pPr>
      <w:r>
        <w:t>I</w:t>
      </w:r>
      <w:r w:rsidR="00C0376B">
        <w:t xml:space="preserve">n determining the </w:t>
      </w:r>
      <w:r w:rsidR="003502D7">
        <w:t xml:space="preserve">most </w:t>
      </w:r>
      <w:r w:rsidR="003E7F6B">
        <w:t>appropriate jurisdiction</w:t>
      </w:r>
      <w:r w:rsidR="00A364DE">
        <w:t xml:space="preserve"> </w:t>
      </w:r>
      <w:r w:rsidR="00272EA2">
        <w:t xml:space="preserve">in which </w:t>
      </w:r>
      <w:r w:rsidR="00A364DE">
        <w:t>to commence proceedings</w:t>
      </w:r>
      <w:r w:rsidR="00C0376B">
        <w:t>,</w:t>
      </w:r>
      <w:r>
        <w:t xml:space="preserve"> decision makers</w:t>
      </w:r>
      <w:r w:rsidR="00D8096C">
        <w:t xml:space="preserve"> should consider the balance of convenience</w:t>
      </w:r>
      <w:r w:rsidR="005E6262">
        <w:t xml:space="preserve">. </w:t>
      </w:r>
      <w:r w:rsidR="00971189">
        <w:t>The</w:t>
      </w:r>
      <w:r w:rsidR="005E6262">
        <w:t xml:space="preserve"> factors</w:t>
      </w:r>
      <w:r w:rsidR="00A77758">
        <w:t xml:space="preserve"> </w:t>
      </w:r>
      <w:r w:rsidR="00971189">
        <w:t>that might identify where the balance of convenience lies</w:t>
      </w:r>
      <w:r w:rsidR="005E6262">
        <w:t xml:space="preserve"> will vary in the circumstances of the case, but may include:</w:t>
      </w:r>
    </w:p>
    <w:p w14:paraId="3E736786" w14:textId="077A7A83" w:rsidR="004A0023" w:rsidRDefault="007E02AC" w:rsidP="00F1765A">
      <w:pPr>
        <w:pStyle w:val="Sub-para111213"/>
      </w:pPr>
      <w:r>
        <w:t>w</w:t>
      </w:r>
      <w:r w:rsidR="004A0023">
        <w:t>here the defendant is now located, including the need for any extradition procedures</w:t>
      </w:r>
      <w:r w:rsidR="007F46F6">
        <w:t>;</w:t>
      </w:r>
    </w:p>
    <w:p w14:paraId="154E679C" w14:textId="12017BDD" w:rsidR="00D011A0" w:rsidRDefault="007E02AC" w:rsidP="00F1765A">
      <w:pPr>
        <w:pStyle w:val="Sub-para111213"/>
      </w:pPr>
      <w:r>
        <w:t>w</w:t>
      </w:r>
      <w:r w:rsidR="00A82101">
        <w:t xml:space="preserve">here the bulk of the criminality </w:t>
      </w:r>
      <w:r w:rsidR="00D26335">
        <w:t xml:space="preserve">is alleged to have </w:t>
      </w:r>
      <w:r w:rsidR="00A82101">
        <w:t>occurred</w:t>
      </w:r>
      <w:r w:rsidR="007F46F6">
        <w:t>;</w:t>
      </w:r>
    </w:p>
    <w:p w14:paraId="3C2F3C21" w14:textId="4688C4A0" w:rsidR="00F83245" w:rsidRDefault="007E02AC" w:rsidP="00F1765A">
      <w:pPr>
        <w:pStyle w:val="Sub-para111213"/>
      </w:pPr>
      <w:r>
        <w:t>w</w:t>
      </w:r>
      <w:r w:rsidR="00244362">
        <w:t>here the arrest occurred</w:t>
      </w:r>
      <w:r w:rsidR="007F46F6">
        <w:t>;</w:t>
      </w:r>
    </w:p>
    <w:p w14:paraId="099F2401" w14:textId="07E89EA7" w:rsidR="00CF4636" w:rsidRDefault="007E02AC" w:rsidP="00F1765A">
      <w:pPr>
        <w:pStyle w:val="Sub-para111213"/>
      </w:pPr>
      <w:r>
        <w:t>w</w:t>
      </w:r>
      <w:r w:rsidR="00CF4636" w:rsidRPr="00CF4636">
        <w:t>hether the matter may proceed as a trial or a plea of guilty</w:t>
      </w:r>
      <w:r w:rsidR="007F46F6">
        <w:t>;</w:t>
      </w:r>
    </w:p>
    <w:p w14:paraId="0FFEC4D3" w14:textId="65652058" w:rsidR="002574D4" w:rsidRDefault="007E02AC" w:rsidP="00F1765A">
      <w:pPr>
        <w:pStyle w:val="Sub-para111213"/>
      </w:pPr>
      <w:r>
        <w:t>t</w:t>
      </w:r>
      <w:r w:rsidR="009F21EB">
        <w:t>he location of any victims</w:t>
      </w:r>
      <w:r w:rsidR="007F46F6">
        <w:t>;</w:t>
      </w:r>
    </w:p>
    <w:p w14:paraId="4F8CEB17" w14:textId="79DD0641" w:rsidR="009F21EB" w:rsidRDefault="007E02AC" w:rsidP="00F1765A">
      <w:pPr>
        <w:pStyle w:val="Sub-para111213"/>
      </w:pPr>
      <w:r>
        <w:t>t</w:t>
      </w:r>
      <w:r w:rsidR="002574D4">
        <w:t xml:space="preserve">he location of the preponderance of witnesses </w:t>
      </w:r>
      <w:r w:rsidR="009F21EB">
        <w:t>in the matter</w:t>
      </w:r>
      <w:r w:rsidR="007F46F6">
        <w:t>;</w:t>
      </w:r>
    </w:p>
    <w:p w14:paraId="757A3AC8" w14:textId="26B416D9" w:rsidR="00C0376B" w:rsidRDefault="007E02AC" w:rsidP="00F1765A">
      <w:pPr>
        <w:pStyle w:val="Sub-para111213"/>
      </w:pPr>
      <w:r>
        <w:t>a</w:t>
      </w:r>
      <w:r w:rsidR="00C0376B">
        <w:t>ny expense associated with necessary interstate witnesses attending</w:t>
      </w:r>
      <w:r w:rsidR="007F46F6">
        <w:t>;</w:t>
      </w:r>
    </w:p>
    <w:p w14:paraId="73CBCD70" w14:textId="77CEA8F0" w:rsidR="00BE46F5" w:rsidRDefault="007E02AC" w:rsidP="00F1765A">
      <w:pPr>
        <w:pStyle w:val="Sub-para111213"/>
      </w:pPr>
      <w:r>
        <w:t>o</w:t>
      </w:r>
      <w:r w:rsidR="00BE46F5">
        <w:t xml:space="preserve">ther costs associated with the litigation, such as setting up </w:t>
      </w:r>
      <w:r w:rsidR="00900615">
        <w:t xml:space="preserve">litigation </w:t>
      </w:r>
      <w:r w:rsidR="00BE46F5">
        <w:t>infrastructure</w:t>
      </w:r>
      <w:r w:rsidR="00C76164">
        <w:t xml:space="preserve"> in a remote area</w:t>
      </w:r>
      <w:r w:rsidR="007F46F6">
        <w:t>; and</w:t>
      </w:r>
    </w:p>
    <w:p w14:paraId="11B11077" w14:textId="3BA2D375" w:rsidR="00900615" w:rsidRDefault="007E02AC" w:rsidP="00F1765A">
      <w:pPr>
        <w:pStyle w:val="Sub-para111213"/>
      </w:pPr>
      <w:r>
        <w:t>c</w:t>
      </w:r>
      <w:r w:rsidR="00C76164">
        <w:t>urrent d</w:t>
      </w:r>
      <w:r w:rsidR="00900615">
        <w:t>elays in any particular jurisdiction.</w:t>
      </w:r>
    </w:p>
    <w:p w14:paraId="6AC61BB4" w14:textId="2814193C" w:rsidR="00C0376B" w:rsidRDefault="008375E3" w:rsidP="00AE7A30">
      <w:pPr>
        <w:pStyle w:val="Para1123"/>
        <w:keepNext/>
      </w:pPr>
      <w:r>
        <w:lastRenderedPageBreak/>
        <w:t xml:space="preserve">In making this determination, decision makers must </w:t>
      </w:r>
      <w:r w:rsidRPr="00AE7A30">
        <w:rPr>
          <w:b/>
          <w:bCs/>
        </w:rPr>
        <w:t>not</w:t>
      </w:r>
      <w:r>
        <w:t xml:space="preserve"> </w:t>
      </w:r>
      <w:proofErr w:type="gramStart"/>
      <w:r>
        <w:t>take into account</w:t>
      </w:r>
      <w:proofErr w:type="gramEnd"/>
      <w:r>
        <w:t>:</w:t>
      </w:r>
    </w:p>
    <w:p w14:paraId="1A5A8131" w14:textId="327D2DC9" w:rsidR="00F064C1" w:rsidRDefault="009A2A67" w:rsidP="00F1765A">
      <w:pPr>
        <w:pStyle w:val="Sub-para111213"/>
      </w:pPr>
      <w:r>
        <w:t>a</w:t>
      </w:r>
      <w:r w:rsidR="008375E3">
        <w:t xml:space="preserve">ny </w:t>
      </w:r>
      <w:r w:rsidR="00D83A3A">
        <w:t xml:space="preserve">real or perceived forensic advantages </w:t>
      </w:r>
      <w:r w:rsidR="00992C87">
        <w:t>of the</w:t>
      </w:r>
      <w:r w:rsidR="00D83A3A">
        <w:t xml:space="preserve"> p</w:t>
      </w:r>
      <w:r w:rsidR="00F064C1">
        <w:t>rocedur</w:t>
      </w:r>
      <w:r w:rsidR="00992C87">
        <w:t xml:space="preserve">e, the laws of </w:t>
      </w:r>
      <w:r w:rsidR="004C6B42">
        <w:t>e</w:t>
      </w:r>
      <w:r w:rsidR="00D83A3A">
        <w:t xml:space="preserve">vidence or </w:t>
      </w:r>
      <w:r w:rsidR="00992C87">
        <w:t xml:space="preserve">the </w:t>
      </w:r>
      <w:r w:rsidR="00D83A3A">
        <w:t>disclosure regime</w:t>
      </w:r>
      <w:r w:rsidR="00992C87">
        <w:t xml:space="preserve"> of a particular jurisdiction</w:t>
      </w:r>
      <w:r w:rsidR="007F46F6">
        <w:t>; or</w:t>
      </w:r>
    </w:p>
    <w:p w14:paraId="3205E6FF" w14:textId="07523B9C" w:rsidR="00F064C1" w:rsidRDefault="00992C87" w:rsidP="00F1765A">
      <w:pPr>
        <w:pStyle w:val="Sub-para111213"/>
      </w:pPr>
      <w:r>
        <w:t xml:space="preserve">the </w:t>
      </w:r>
      <w:r w:rsidR="009A2A67">
        <w:t>s</w:t>
      </w:r>
      <w:r w:rsidR="00D83A3A">
        <w:t>entencing practices of a particular jurisdiction.</w:t>
      </w:r>
    </w:p>
    <w:p w14:paraId="22C1ED6D" w14:textId="3C483EE9" w:rsidR="00624240" w:rsidRDefault="00640CB3" w:rsidP="00640CB3">
      <w:pPr>
        <w:pStyle w:val="Para1123"/>
      </w:pPr>
      <w:bookmarkStart w:id="44" w:name="_Toc163070974"/>
      <w:r>
        <w:t>I</w:t>
      </w:r>
      <w:r w:rsidRPr="000919DC">
        <w:t xml:space="preserve">t is possible for a </w:t>
      </w:r>
      <w:r>
        <w:t xml:space="preserve">defendant </w:t>
      </w:r>
      <w:r w:rsidR="00D00CCB">
        <w:t>who committed</w:t>
      </w:r>
      <w:r w:rsidRPr="000919DC">
        <w:t xml:space="preserve"> an indictable Commonwealth offence in one </w:t>
      </w:r>
      <w:r>
        <w:t>S</w:t>
      </w:r>
      <w:r w:rsidRPr="000919DC">
        <w:t xml:space="preserve">tate </w:t>
      </w:r>
      <w:r w:rsidR="00FD064F">
        <w:t>and who pleads</w:t>
      </w:r>
      <w:r w:rsidRPr="000919DC">
        <w:t xml:space="preserve"> guilty to that offence </w:t>
      </w:r>
      <w:r w:rsidR="00FD064F">
        <w:t>to</w:t>
      </w:r>
      <w:r w:rsidRPr="000919DC">
        <w:t xml:space="preserve"> be sentenced in another </w:t>
      </w:r>
      <w:r>
        <w:t>S</w:t>
      </w:r>
      <w:r w:rsidRPr="000919DC">
        <w:t>tate</w:t>
      </w:r>
      <w:r>
        <w:t>,</w:t>
      </w:r>
      <w:r w:rsidRPr="000919DC">
        <w:t xml:space="preserve"> provided that the requirements of </w:t>
      </w:r>
      <w:r w:rsidRPr="003676C8">
        <w:t xml:space="preserve">the </w:t>
      </w:r>
      <w:r w:rsidRPr="009356ED">
        <w:rPr>
          <w:i/>
          <w:iCs/>
        </w:rPr>
        <w:t>Judiciary Act</w:t>
      </w:r>
      <w:r w:rsidRPr="003676C8">
        <w:t xml:space="preserve"> are</w:t>
      </w:r>
      <w:r w:rsidRPr="000919DC">
        <w:t xml:space="preserve"> </w:t>
      </w:r>
      <w:r>
        <w:t>met</w:t>
      </w:r>
      <w:r w:rsidRPr="000919DC">
        <w:t xml:space="preserve">. </w:t>
      </w:r>
      <w:r>
        <w:t>That is because ss </w:t>
      </w:r>
      <w:r w:rsidRPr="000919DC">
        <w:t>68(2), (5)</w:t>
      </w:r>
      <w:r w:rsidR="00D2245D">
        <w:t>,</w:t>
      </w:r>
      <w:r w:rsidRPr="000919DC">
        <w:t xml:space="preserve"> (7) of </w:t>
      </w:r>
      <w:r w:rsidRPr="003676C8">
        <w:t xml:space="preserve">the </w:t>
      </w:r>
      <w:r w:rsidRPr="009356ED">
        <w:rPr>
          <w:i/>
          <w:iCs/>
        </w:rPr>
        <w:t>Judiciary Act</w:t>
      </w:r>
      <w:r w:rsidRPr="003676C8">
        <w:t xml:space="preserve"> </w:t>
      </w:r>
      <w:r>
        <w:t>combine to</w:t>
      </w:r>
      <w:r w:rsidRPr="000919DC">
        <w:t xml:space="preserve"> confer jurisdiction on </w:t>
      </w:r>
      <w:r>
        <w:t>state and territory</w:t>
      </w:r>
      <w:r w:rsidRPr="000919DC">
        <w:t xml:space="preserve"> courts to hear a plea on indictment where the defendant was committed by a Magistrate in that </w:t>
      </w:r>
      <w:r>
        <w:t>jurisdiction</w:t>
      </w:r>
      <w:r w:rsidRPr="000919DC">
        <w:t xml:space="preserve"> on that charge</w:t>
      </w:r>
      <w:r>
        <w:t>,</w:t>
      </w:r>
      <w:r w:rsidRPr="000919DC">
        <w:t xml:space="preserve"> </w:t>
      </w:r>
      <w:r w:rsidR="00A932A2">
        <w:t>regardless of</w:t>
      </w:r>
      <w:r w:rsidRPr="000919DC">
        <w:t xml:space="preserve"> the </w:t>
      </w:r>
      <w:r w:rsidR="00A932A2">
        <w:t>locality of the offence</w:t>
      </w:r>
      <w:r w:rsidRPr="000919DC">
        <w:t>.</w:t>
      </w:r>
      <w:r w:rsidRPr="000919DC">
        <w:rPr>
          <w:rStyle w:val="FootnoteReference"/>
          <w:rFonts w:cstheme="minorHAnsi"/>
        </w:rPr>
        <w:footnoteReference w:id="11"/>
      </w:r>
      <w:r w:rsidRPr="000919DC">
        <w:t xml:space="preserve"> </w:t>
      </w:r>
    </w:p>
    <w:p w14:paraId="7C8574B2" w14:textId="44DA92D9" w:rsidR="00640CB3" w:rsidRDefault="00624240" w:rsidP="00640CB3">
      <w:pPr>
        <w:pStyle w:val="Para1123"/>
      </w:pPr>
      <w:r>
        <w:t xml:space="preserve">That can be achieved either through laying the charge in the </w:t>
      </w:r>
      <w:r w:rsidR="00A073EB">
        <w:t>jurisdiction</w:t>
      </w:r>
      <w:r>
        <w:t xml:space="preserve"> in which the sentence will be imposed, or </w:t>
      </w:r>
      <w:r w:rsidR="00157784">
        <w:t xml:space="preserve">(if charges have already been laid in </w:t>
      </w:r>
      <w:r w:rsidR="00FE4C84">
        <w:t xml:space="preserve">the </w:t>
      </w:r>
      <w:r w:rsidR="003A5E51">
        <w:t>State</w:t>
      </w:r>
      <w:r w:rsidR="00FE4C84">
        <w:t xml:space="preserve"> in which the offence was committed</w:t>
      </w:r>
      <w:r w:rsidR="00157784">
        <w:t xml:space="preserve">) </w:t>
      </w:r>
      <w:r>
        <w:t>by filing</w:t>
      </w:r>
      <w:r w:rsidR="00640CB3" w:rsidRPr="000919DC">
        <w:t xml:space="preserve"> </w:t>
      </w:r>
      <w:r w:rsidR="00640CB3" w:rsidRPr="003676C8">
        <w:t>an ex</w:t>
      </w:r>
      <w:r w:rsidR="00640CB3">
        <w:t> </w:t>
      </w:r>
      <w:r w:rsidR="00640CB3" w:rsidRPr="003676C8">
        <w:t>officio indictment</w:t>
      </w:r>
      <w:r w:rsidR="00640CB3" w:rsidRPr="000919DC">
        <w:t xml:space="preserve"> </w:t>
      </w:r>
      <w:r w:rsidR="00640CB3">
        <w:t xml:space="preserve">in </w:t>
      </w:r>
      <w:r w:rsidR="00940C52">
        <w:t>the</w:t>
      </w:r>
      <w:r w:rsidR="00640CB3">
        <w:t xml:space="preserve"> alternative </w:t>
      </w:r>
      <w:r w:rsidR="00C82941">
        <w:t>jurisdiction</w:t>
      </w:r>
      <w:r w:rsidR="00640CB3">
        <w:t xml:space="preserve"> </w:t>
      </w:r>
      <w:r w:rsidR="00640CB3" w:rsidRPr="000919DC">
        <w:t>to facilitate the matter proceeding as a plea</w:t>
      </w:r>
      <w:r w:rsidR="006773F0">
        <w:t xml:space="preserve"> in that </w:t>
      </w:r>
      <w:r w:rsidR="00C82941">
        <w:t>jurisdiction</w:t>
      </w:r>
      <w:r w:rsidR="00640CB3" w:rsidRPr="000919DC">
        <w:t>.</w:t>
      </w:r>
    </w:p>
    <w:p w14:paraId="68184EAD" w14:textId="4D3A0710" w:rsidR="008E5E7C" w:rsidRDefault="008E5E7C" w:rsidP="00376B47">
      <w:pPr>
        <w:pStyle w:val="Heading2"/>
      </w:pPr>
      <w:bookmarkStart w:id="45" w:name="_Toc167362847"/>
      <w:r>
        <w:t>Offences committed in a Territory</w:t>
      </w:r>
      <w:bookmarkEnd w:id="44"/>
      <w:bookmarkEnd w:id="45"/>
    </w:p>
    <w:p w14:paraId="07BDE3C5" w14:textId="78C57D00" w:rsidR="00956DC1" w:rsidRDefault="00123570" w:rsidP="000D1B49">
      <w:pPr>
        <w:pStyle w:val="Para1123"/>
      </w:pPr>
      <w:r w:rsidRPr="00123570">
        <w:t xml:space="preserve">The effect of the </w:t>
      </w:r>
      <w:r w:rsidRPr="00AE7A30">
        <w:rPr>
          <w:i/>
          <w:iCs/>
        </w:rPr>
        <w:t>Judiciary Act</w:t>
      </w:r>
      <w:r w:rsidRPr="00123570">
        <w:t xml:space="preserve"> provisions is that </w:t>
      </w:r>
      <w:r w:rsidR="006C7631">
        <w:t>Commonwealth offences</w:t>
      </w:r>
      <w:r w:rsidR="006C7631" w:rsidRPr="00123570">
        <w:t xml:space="preserve"> </w:t>
      </w:r>
      <w:r w:rsidRPr="00123570">
        <w:t xml:space="preserve">committed in a </w:t>
      </w:r>
      <w:r w:rsidR="008E5E7C">
        <w:t>T</w:t>
      </w:r>
      <w:r w:rsidRPr="00123570">
        <w:t>erritory can be prosecuted anywhere</w:t>
      </w:r>
      <w:r w:rsidR="00956DC1">
        <w:t>.</w:t>
      </w:r>
    </w:p>
    <w:p w14:paraId="564C0DA9" w14:textId="23D20D5F" w:rsidR="008E5E7C" w:rsidRPr="000919DC" w:rsidRDefault="008E5E7C" w:rsidP="00376B47">
      <w:pPr>
        <w:pStyle w:val="Heading2"/>
      </w:pPr>
      <w:bookmarkStart w:id="46" w:name="_Toc163070976"/>
      <w:bookmarkStart w:id="47" w:name="_Toc167362848"/>
      <w:r>
        <w:t>Transferring indictable matters</w:t>
      </w:r>
      <w:bookmarkEnd w:id="46"/>
      <w:bookmarkEnd w:id="47"/>
    </w:p>
    <w:p w14:paraId="6F7F0F92" w14:textId="3DEF2D02" w:rsidR="00E05B09" w:rsidRPr="00123570" w:rsidRDefault="00395A70" w:rsidP="000D1B49">
      <w:pPr>
        <w:pStyle w:val="Para1123"/>
      </w:pPr>
      <w:r w:rsidRPr="000919DC">
        <w:t xml:space="preserve">In deciding whether to transfer an indictable matter between jurisdictions, decision makers should consider the circumstances of each matter. </w:t>
      </w:r>
      <w:r>
        <w:t>M</w:t>
      </w:r>
      <w:r w:rsidRPr="000919DC">
        <w:t xml:space="preserve">atters should only be transferred where the balance of convenience strongly favours </w:t>
      </w:r>
      <w:r w:rsidR="008E5E7C">
        <w:t>a transfer</w:t>
      </w:r>
      <w:r w:rsidRPr="000919DC">
        <w:t>.</w:t>
      </w:r>
      <w:r w:rsidRPr="000919DC">
        <w:rPr>
          <w:rStyle w:val="FootnoteReference"/>
          <w:rFonts w:cstheme="minorHAnsi"/>
        </w:rPr>
        <w:footnoteReference w:id="12"/>
      </w:r>
    </w:p>
    <w:p w14:paraId="56EF4318" w14:textId="21CED0F6" w:rsidR="00395A70" w:rsidRPr="000919DC" w:rsidRDefault="00395A70" w:rsidP="00AE7A30">
      <w:pPr>
        <w:pStyle w:val="Para1123"/>
        <w:keepNext/>
      </w:pPr>
      <w:r w:rsidRPr="000919DC">
        <w:t>In determining the most convenient location for sentencing, some of the</w:t>
      </w:r>
      <w:r w:rsidR="001D4C2D">
        <w:t xml:space="preserve"> relevant</w:t>
      </w:r>
      <w:r w:rsidRPr="000919DC">
        <w:t xml:space="preserve"> factors are:</w:t>
      </w:r>
    </w:p>
    <w:p w14:paraId="33EDD459" w14:textId="65EE1B83" w:rsidR="00AE6BEC" w:rsidRDefault="00395A70" w:rsidP="00F1765A">
      <w:pPr>
        <w:pStyle w:val="Sub-para111213"/>
      </w:pPr>
      <w:r w:rsidRPr="000919DC">
        <w:t>Where the defendant is now located</w:t>
      </w:r>
      <w:r w:rsidR="0087046C">
        <w:t>.</w:t>
      </w:r>
    </w:p>
    <w:p w14:paraId="7CFCDFA1" w14:textId="1633347A" w:rsidR="00E05B09" w:rsidRDefault="00395A70" w:rsidP="00F1765A">
      <w:pPr>
        <w:pStyle w:val="Sub-para111213"/>
      </w:pPr>
      <w:r w:rsidRPr="000919DC">
        <w:t xml:space="preserve">Any </w:t>
      </w:r>
      <w:bookmarkStart w:id="48" w:name="_Hlk101873825"/>
      <w:r w:rsidRPr="000919DC">
        <w:t>expense associated with necessary interstate witnesses attending</w:t>
      </w:r>
      <w:r w:rsidR="00154AA1">
        <w:t>. I</w:t>
      </w:r>
      <w:r w:rsidR="002F0929" w:rsidRPr="00217E0A">
        <w:t xml:space="preserve">n this context </w:t>
      </w:r>
      <w:r w:rsidR="00992091">
        <w:t>decision makers</w:t>
      </w:r>
      <w:r w:rsidR="00D47476">
        <w:t xml:space="preserve"> should consider </w:t>
      </w:r>
      <w:r w:rsidR="002F0929" w:rsidRPr="00217E0A">
        <w:t>seeking agreement to a statement of agreed facts that limits the number of interstate witnesses required</w:t>
      </w:r>
      <w:r w:rsidR="002F0929" w:rsidRPr="000919DC">
        <w:t>.</w:t>
      </w:r>
    </w:p>
    <w:p w14:paraId="15813C1D" w14:textId="18712DD3" w:rsidR="00C631F9" w:rsidRDefault="00395A70" w:rsidP="00F1765A">
      <w:pPr>
        <w:pStyle w:val="Sub-para111213"/>
      </w:pPr>
      <w:r w:rsidRPr="000919DC">
        <w:t>Other public interest factors</w:t>
      </w:r>
      <w:r w:rsidR="0087046C">
        <w:t>.</w:t>
      </w:r>
      <w:r w:rsidR="0059020E" w:rsidRPr="0059020E">
        <w:t xml:space="preserve"> These will depend on the circumstances of the individual matter</w:t>
      </w:r>
      <w:r w:rsidR="00D47672">
        <w:t>:</w:t>
      </w:r>
      <w:r w:rsidR="0059020E" w:rsidRPr="0059020E">
        <w:t xml:space="preserve"> </w:t>
      </w:r>
    </w:p>
    <w:p w14:paraId="0F2DE64D" w14:textId="77777777" w:rsidR="00812B99" w:rsidRDefault="0059020E" w:rsidP="00EB70EA">
      <w:pPr>
        <w:pStyle w:val="Sub-subparaabc"/>
        <w:keepNext/>
        <w:ind w:left="2041"/>
      </w:pPr>
      <w:r w:rsidRPr="0059020E">
        <w:t xml:space="preserve">Generally speaking, matters </w:t>
      </w:r>
      <w:r w:rsidR="00C931EE">
        <w:t xml:space="preserve">for which </w:t>
      </w:r>
      <w:r w:rsidRPr="0059020E">
        <w:t>there are no victims</w:t>
      </w:r>
      <w:r w:rsidR="00802B25">
        <w:rPr>
          <w:rStyle w:val="FootnoteReference"/>
        </w:rPr>
        <w:footnoteReference w:id="13"/>
      </w:r>
      <w:r w:rsidRPr="0059020E">
        <w:t xml:space="preserve"> are more likely to be considered appropriate to be sentenced on indictment outside the jurisdiction </w:t>
      </w:r>
      <w:r w:rsidRPr="0059020E">
        <w:lastRenderedPageBreak/>
        <w:t>where the offence was committed. Whether it is appropriate to do so in the particular case will depend on all the circumstances.</w:t>
      </w:r>
    </w:p>
    <w:p w14:paraId="54A1355C" w14:textId="13CF34EB" w:rsidR="00C631F9" w:rsidRDefault="0059020E" w:rsidP="00EB70EA">
      <w:pPr>
        <w:pStyle w:val="Sub-subparaabc"/>
        <w:keepNext/>
        <w:ind w:left="2041"/>
      </w:pPr>
      <w:r w:rsidRPr="0059020E">
        <w:t xml:space="preserve">Where there is a victim who continues to reside in the jurisdiction where the offence was committed, this is likely to be a strong factor against agreeing to the defendant being sentenced on indictment in another jurisdiction. </w:t>
      </w:r>
    </w:p>
    <w:p w14:paraId="446320BA" w14:textId="36D0E2B4" w:rsidR="000D447C" w:rsidRDefault="00992091" w:rsidP="002C7AF2">
      <w:pPr>
        <w:pStyle w:val="Sub-subparaabc"/>
        <w:keepNext/>
        <w:ind w:left="2041"/>
      </w:pPr>
      <w:r>
        <w:t>Decision makers should also consider</w:t>
      </w:r>
      <w:r w:rsidR="0059020E" w:rsidRPr="0059020E">
        <w:t xml:space="preserve"> the interests of justice in sentencing occurring in the jurisdiction where the alleged offending occurred. </w:t>
      </w:r>
      <w:bookmarkEnd w:id="48"/>
    </w:p>
    <w:p w14:paraId="7FD269CE" w14:textId="16413E37" w:rsidR="005B23BE" w:rsidRDefault="002F14CB" w:rsidP="000D1B49">
      <w:pPr>
        <w:pStyle w:val="Para1123"/>
      </w:pPr>
      <w:r>
        <w:t>A</w:t>
      </w:r>
      <w:r w:rsidR="00395A70" w:rsidRPr="000919DC">
        <w:t xml:space="preserve">ny decision to transfer indictable proceedings interstate must be made at the </w:t>
      </w:r>
      <w:r w:rsidR="0059020E">
        <w:t>B</w:t>
      </w:r>
      <w:r w:rsidR="00395A70" w:rsidRPr="000919DC">
        <w:t xml:space="preserve">ranch </w:t>
      </w:r>
      <w:r w:rsidR="0059020E">
        <w:t>H</w:t>
      </w:r>
      <w:r w:rsidR="00395A70" w:rsidRPr="000919DC">
        <w:t>ead level or higher (DMM 3.16).</w:t>
      </w:r>
    </w:p>
    <w:p w14:paraId="3ABB6A6D" w14:textId="4129C119" w:rsidR="00D020FD" w:rsidRPr="00D020FD" w:rsidRDefault="00D020FD" w:rsidP="00376B47">
      <w:pPr>
        <w:pStyle w:val="Heading1"/>
      </w:pPr>
      <w:bookmarkStart w:id="49" w:name="_Toc163070977"/>
      <w:bookmarkStart w:id="50" w:name="_Toc167362849"/>
      <w:r>
        <w:t>Related Resources</w:t>
      </w:r>
      <w:bookmarkEnd w:id="49"/>
      <w:bookmarkEnd w:id="50"/>
    </w:p>
    <w:p w14:paraId="58C6FD73" w14:textId="2606784E" w:rsidR="00395A70" w:rsidRDefault="000F1C8F" w:rsidP="00AE7A30">
      <w:pPr>
        <w:pStyle w:val="Para1123"/>
        <w:keepNext/>
      </w:pPr>
      <w:r w:rsidRPr="00A323FB">
        <w:t>Prosecutors should also consider</w:t>
      </w:r>
      <w:r w:rsidR="005C148E" w:rsidRPr="00A323FB">
        <w:t xml:space="preserve"> the following resource</w:t>
      </w:r>
      <w:r w:rsidR="00961683" w:rsidRPr="00A323FB">
        <w:t>:</w:t>
      </w:r>
    </w:p>
    <w:p w14:paraId="6BA5E274" w14:textId="4AC28C09" w:rsidR="00961683" w:rsidRPr="00E0043F" w:rsidRDefault="00E0043F" w:rsidP="00E0043F">
      <w:pPr>
        <w:pStyle w:val="Sub-para111213"/>
        <w:rPr>
          <w:rStyle w:val="Hyperlink"/>
          <w:color w:val="auto"/>
          <w:u w:val="none"/>
        </w:rPr>
      </w:pPr>
      <w:r>
        <w:fldChar w:fldCharType="begin"/>
      </w:r>
      <w:r>
        <w:instrText>HYPERLINK "https://www.cdpp.gov.au/publications/external-territories-prosecutions-nld"</w:instrText>
      </w:r>
      <w:r>
        <w:fldChar w:fldCharType="separate"/>
      </w:r>
      <w:r w:rsidR="00961683" w:rsidRPr="00E0043F">
        <w:rPr>
          <w:rStyle w:val="Hyperlink"/>
        </w:rPr>
        <w:t>N</w:t>
      </w:r>
      <w:r w:rsidR="003B7DEC" w:rsidRPr="00E0043F">
        <w:rPr>
          <w:rStyle w:val="Hyperlink"/>
        </w:rPr>
        <w:t>LD</w:t>
      </w:r>
      <w:r w:rsidR="00961683" w:rsidRPr="00E0043F">
        <w:rPr>
          <w:rStyle w:val="Hyperlink"/>
        </w:rPr>
        <w:t xml:space="preserve">: </w:t>
      </w:r>
      <w:r w:rsidR="003B7DEC" w:rsidRPr="00E0043F">
        <w:rPr>
          <w:rStyle w:val="Hyperlink"/>
        </w:rPr>
        <w:t>External Territories Prosecutions</w:t>
      </w:r>
    </w:p>
    <w:p w14:paraId="31169D7A" w14:textId="1419FB29" w:rsidR="00733730" w:rsidRPr="001747B6" w:rsidRDefault="00E0043F" w:rsidP="00837B13">
      <w:pPr>
        <w:pStyle w:val="Heading1"/>
      </w:pPr>
      <w:r>
        <w:rPr>
          <w:rFonts w:asciiTheme="minorHAnsi" w:eastAsiaTheme="minorHAnsi" w:hAnsiTheme="minorHAnsi" w:cstheme="minorBidi"/>
          <w:b w:val="0"/>
          <w:bCs w:val="0"/>
          <w:caps w:val="0"/>
          <w:szCs w:val="22"/>
        </w:rPr>
        <w:fldChar w:fldCharType="end"/>
      </w:r>
      <w:bookmarkStart w:id="51" w:name="_Toc167362850"/>
      <w:r w:rsidR="00837B13" w:rsidRPr="001747B6">
        <w:t>DOCUMENT RELEASE INFORMATION</w:t>
      </w:r>
      <w:bookmarkEnd w:id="12"/>
      <w:bookmarkEnd w:id="51"/>
    </w:p>
    <w:p w14:paraId="4B5602B0" w14:textId="77777777" w:rsidR="001960E9" w:rsidRDefault="001960E9" w:rsidP="001960E9">
      <w:pPr>
        <w:pStyle w:val="Heading2"/>
      </w:pPr>
      <w:bookmarkStart w:id="52" w:name="_Toc164673185"/>
      <w:bookmarkStart w:id="53" w:name="_Toc167362851"/>
      <w:r w:rsidRPr="00BB25C5">
        <w:t>Approval for release</w:t>
      </w:r>
      <w:bookmarkEnd w:id="52"/>
      <w:bookmarkEnd w:id="53"/>
    </w:p>
    <w:tbl>
      <w:tblPr>
        <w:tblStyle w:val="TableGrid"/>
        <w:tblW w:w="9733" w:type="dxa"/>
        <w:tblInd w:w="137" w:type="dxa"/>
        <w:tblLook w:val="04A0" w:firstRow="1" w:lastRow="0" w:firstColumn="1" w:lastColumn="0" w:noHBand="0" w:noVBand="1"/>
      </w:tblPr>
      <w:tblGrid>
        <w:gridCol w:w="2835"/>
        <w:gridCol w:w="6898"/>
      </w:tblGrid>
      <w:tr w:rsidR="001960E9" w:rsidRPr="00E44094" w14:paraId="5BEEF2DC" w14:textId="77777777" w:rsidTr="00855B81">
        <w:trPr>
          <w:trHeight w:val="481"/>
        </w:trPr>
        <w:tc>
          <w:tcPr>
            <w:tcW w:w="2835" w:type="dxa"/>
            <w:shd w:val="clear" w:color="auto" w:fill="0E374B" w:themeFill="accent1"/>
          </w:tcPr>
          <w:p w14:paraId="3DB2004A" w14:textId="77777777" w:rsidR="001960E9" w:rsidRPr="00837B13" w:rsidRDefault="001960E9" w:rsidP="00837B13">
            <w:pPr>
              <w:pStyle w:val="TableheaderGuide"/>
            </w:pPr>
            <w:r w:rsidRPr="00837B13">
              <w:t>Position</w:t>
            </w:r>
          </w:p>
        </w:tc>
        <w:tc>
          <w:tcPr>
            <w:tcW w:w="6898" w:type="dxa"/>
            <w:shd w:val="clear" w:color="auto" w:fill="auto"/>
          </w:tcPr>
          <w:p w14:paraId="70C1F55D" w14:textId="0EF0072E" w:rsidR="001960E9" w:rsidRPr="00837B13" w:rsidRDefault="008C70C9" w:rsidP="00837B13">
            <w:pPr>
              <w:pStyle w:val="TablebodyChargestables-size10"/>
              <w:rPr>
                <w:b/>
                <w:bCs/>
              </w:rPr>
            </w:pPr>
            <w:r w:rsidRPr="00837B13">
              <w:rPr>
                <w:b/>
                <w:bCs/>
              </w:rPr>
              <w:t>Raelene Sharp KC</w:t>
            </w:r>
          </w:p>
        </w:tc>
      </w:tr>
      <w:tr w:rsidR="001960E9" w:rsidRPr="00E44094" w14:paraId="1D186DC3" w14:textId="77777777" w:rsidTr="00855B81">
        <w:trPr>
          <w:trHeight w:val="481"/>
        </w:trPr>
        <w:tc>
          <w:tcPr>
            <w:tcW w:w="2835" w:type="dxa"/>
            <w:shd w:val="clear" w:color="auto" w:fill="0E374B" w:themeFill="accent1"/>
          </w:tcPr>
          <w:p w14:paraId="78E7C858" w14:textId="77777777" w:rsidR="001960E9" w:rsidRPr="00837B13" w:rsidRDefault="001960E9" w:rsidP="00837B13">
            <w:pPr>
              <w:pStyle w:val="TableheaderGuide"/>
            </w:pPr>
            <w:r w:rsidRPr="00837B13">
              <w:t>Date</w:t>
            </w:r>
          </w:p>
        </w:tc>
        <w:tc>
          <w:tcPr>
            <w:tcW w:w="6898" w:type="dxa"/>
            <w:shd w:val="clear" w:color="auto" w:fill="auto"/>
          </w:tcPr>
          <w:p w14:paraId="6EFDE3C8" w14:textId="17C18093" w:rsidR="001960E9" w:rsidRPr="00837B13" w:rsidRDefault="008C70C9" w:rsidP="00837B13">
            <w:pPr>
              <w:pStyle w:val="TablebodyChargestables-size10"/>
              <w:rPr>
                <w:b/>
                <w:bCs/>
              </w:rPr>
            </w:pPr>
            <w:r w:rsidRPr="00837B13">
              <w:rPr>
                <w:b/>
                <w:bCs/>
              </w:rPr>
              <w:t>22 May 2024</w:t>
            </w:r>
          </w:p>
        </w:tc>
      </w:tr>
      <w:tr w:rsidR="001960E9" w:rsidRPr="00E44094" w14:paraId="134CEF1D" w14:textId="77777777" w:rsidTr="00855B81">
        <w:trPr>
          <w:trHeight w:val="481"/>
        </w:trPr>
        <w:tc>
          <w:tcPr>
            <w:tcW w:w="2835" w:type="dxa"/>
            <w:shd w:val="clear" w:color="auto" w:fill="0E374B" w:themeFill="accent1"/>
          </w:tcPr>
          <w:p w14:paraId="4D37A04A" w14:textId="77777777" w:rsidR="001960E9" w:rsidRPr="00837B13" w:rsidRDefault="001960E9" w:rsidP="00837B13">
            <w:pPr>
              <w:pStyle w:val="TableheaderGuide"/>
            </w:pPr>
            <w:r w:rsidRPr="00837B13">
              <w:t>Published on CDPP website</w:t>
            </w:r>
          </w:p>
        </w:tc>
        <w:tc>
          <w:tcPr>
            <w:tcW w:w="6898" w:type="dxa"/>
            <w:shd w:val="clear" w:color="auto" w:fill="auto"/>
          </w:tcPr>
          <w:p w14:paraId="6A0D178A" w14:textId="756E44D7" w:rsidR="001960E9" w:rsidRPr="00837B13" w:rsidRDefault="001960E9" w:rsidP="00837B13">
            <w:pPr>
              <w:pStyle w:val="TablebodyChargestables-size10"/>
              <w:rPr>
                <w:b/>
                <w:bCs/>
              </w:rPr>
            </w:pPr>
            <w:r w:rsidRPr="00837B13">
              <w:rPr>
                <w:b/>
                <w:bCs/>
              </w:rPr>
              <w:t>Yes</w:t>
            </w:r>
          </w:p>
        </w:tc>
      </w:tr>
    </w:tbl>
    <w:p w14:paraId="097DE72F" w14:textId="77777777" w:rsidR="001960E9" w:rsidRPr="004F5AEC" w:rsidRDefault="001960E9" w:rsidP="001960E9">
      <w:pPr>
        <w:pStyle w:val="Heading2"/>
      </w:pPr>
      <w:bookmarkStart w:id="54" w:name="_Toc159264540"/>
      <w:bookmarkStart w:id="55" w:name="_Toc159409549"/>
      <w:bookmarkStart w:id="56" w:name="_Toc164673186"/>
      <w:bookmarkStart w:id="57" w:name="_Toc167362852"/>
      <w:r w:rsidRPr="004F5AEC">
        <w:t>Version control</w:t>
      </w:r>
      <w:bookmarkEnd w:id="54"/>
      <w:bookmarkEnd w:id="55"/>
      <w:bookmarkEnd w:id="56"/>
      <w:bookmarkEnd w:id="57"/>
    </w:p>
    <w:tbl>
      <w:tblPr>
        <w:tblStyle w:val="TableGrid"/>
        <w:tblW w:w="0" w:type="auto"/>
        <w:tblInd w:w="137" w:type="dxa"/>
        <w:tblLook w:val="04A0" w:firstRow="1" w:lastRow="0" w:firstColumn="1" w:lastColumn="0" w:noHBand="0" w:noVBand="1"/>
      </w:tblPr>
      <w:tblGrid>
        <w:gridCol w:w="914"/>
        <w:gridCol w:w="1212"/>
        <w:gridCol w:w="1843"/>
        <w:gridCol w:w="4111"/>
        <w:gridCol w:w="1411"/>
      </w:tblGrid>
      <w:tr w:rsidR="00F067EE" w:rsidRPr="00837B13" w14:paraId="06B51061" w14:textId="77777777" w:rsidTr="008450D6">
        <w:trPr>
          <w:trHeight w:val="481"/>
        </w:trPr>
        <w:tc>
          <w:tcPr>
            <w:tcW w:w="914" w:type="dxa"/>
            <w:shd w:val="clear" w:color="auto" w:fill="0E374B" w:themeFill="accent1"/>
          </w:tcPr>
          <w:p w14:paraId="3E1A99AA" w14:textId="77777777" w:rsidR="001960E9" w:rsidRPr="00837B13" w:rsidRDefault="001960E9" w:rsidP="00837B13">
            <w:pPr>
              <w:pStyle w:val="TableheaderGuide"/>
            </w:pPr>
            <w:r w:rsidRPr="00837B13">
              <w:t>Version</w:t>
            </w:r>
          </w:p>
        </w:tc>
        <w:tc>
          <w:tcPr>
            <w:tcW w:w="1212" w:type="dxa"/>
            <w:shd w:val="clear" w:color="auto" w:fill="0E374B" w:themeFill="accent1"/>
          </w:tcPr>
          <w:p w14:paraId="1D85F350" w14:textId="77777777" w:rsidR="001960E9" w:rsidRPr="00837B13" w:rsidRDefault="001960E9" w:rsidP="00837B13">
            <w:pPr>
              <w:pStyle w:val="TableheaderGuide"/>
            </w:pPr>
            <w:r w:rsidRPr="00837B13">
              <w:t>Date</w:t>
            </w:r>
          </w:p>
        </w:tc>
        <w:tc>
          <w:tcPr>
            <w:tcW w:w="1843" w:type="dxa"/>
            <w:shd w:val="clear" w:color="auto" w:fill="0E374B" w:themeFill="accent1"/>
          </w:tcPr>
          <w:p w14:paraId="36D414C3" w14:textId="77777777" w:rsidR="001960E9" w:rsidRPr="00837B13" w:rsidRDefault="001960E9" w:rsidP="00837B13">
            <w:pPr>
              <w:pStyle w:val="TableheaderGuide"/>
            </w:pPr>
            <w:r w:rsidRPr="00837B13">
              <w:t>Author</w:t>
            </w:r>
          </w:p>
        </w:tc>
        <w:tc>
          <w:tcPr>
            <w:tcW w:w="4111" w:type="dxa"/>
            <w:shd w:val="clear" w:color="auto" w:fill="0E374B" w:themeFill="accent1"/>
          </w:tcPr>
          <w:p w14:paraId="012D485F" w14:textId="77777777" w:rsidR="001960E9" w:rsidRPr="00837B13" w:rsidRDefault="001960E9" w:rsidP="00837B13">
            <w:pPr>
              <w:pStyle w:val="TableheaderGuide"/>
            </w:pPr>
            <w:r w:rsidRPr="00837B13">
              <w:t>Description</w:t>
            </w:r>
          </w:p>
        </w:tc>
        <w:tc>
          <w:tcPr>
            <w:tcW w:w="1411" w:type="dxa"/>
            <w:shd w:val="clear" w:color="auto" w:fill="0E374B" w:themeFill="accent1"/>
          </w:tcPr>
          <w:p w14:paraId="413E1B96" w14:textId="77777777" w:rsidR="001960E9" w:rsidRPr="00837B13" w:rsidRDefault="001960E9" w:rsidP="00837B13">
            <w:pPr>
              <w:pStyle w:val="TableheaderGuide"/>
            </w:pPr>
            <w:r w:rsidRPr="00837B13">
              <w:t>Next review</w:t>
            </w:r>
          </w:p>
        </w:tc>
      </w:tr>
      <w:tr w:rsidR="00F067EE" w14:paraId="3C49F16F" w14:textId="77777777" w:rsidTr="008450D6">
        <w:tc>
          <w:tcPr>
            <w:tcW w:w="914" w:type="dxa"/>
          </w:tcPr>
          <w:p w14:paraId="6B4211BB" w14:textId="38126EA7" w:rsidR="001960E9" w:rsidRPr="007B636A" w:rsidRDefault="001960E9" w:rsidP="00F067EE">
            <w:pPr>
              <w:pStyle w:val="TablebodyChargestables-size10"/>
            </w:pPr>
            <w:r w:rsidRPr="00A65D3E">
              <w:t>1.1</w:t>
            </w:r>
          </w:p>
        </w:tc>
        <w:tc>
          <w:tcPr>
            <w:tcW w:w="1212" w:type="dxa"/>
          </w:tcPr>
          <w:p w14:paraId="60AF317C" w14:textId="362BC01B" w:rsidR="001960E9" w:rsidRDefault="001960E9" w:rsidP="00F067EE">
            <w:pPr>
              <w:pStyle w:val="TablebodyChargestables-size10"/>
            </w:pPr>
            <w:r>
              <w:t>May 2024</w:t>
            </w:r>
            <w:r w:rsidRPr="00A65D3E">
              <w:t xml:space="preserve"> </w:t>
            </w:r>
          </w:p>
        </w:tc>
        <w:tc>
          <w:tcPr>
            <w:tcW w:w="1843" w:type="dxa"/>
          </w:tcPr>
          <w:p w14:paraId="3C0A5A4F" w14:textId="19609FAB" w:rsidR="001960E9" w:rsidRDefault="001960E9" w:rsidP="00F067EE">
            <w:pPr>
              <w:pStyle w:val="TablebodyChargestables-size10"/>
            </w:pPr>
            <w:r>
              <w:t>L</w:t>
            </w:r>
            <w:r w:rsidR="00F067EE">
              <w:t>egal Capability and Performance</w:t>
            </w:r>
          </w:p>
        </w:tc>
        <w:tc>
          <w:tcPr>
            <w:tcW w:w="4111" w:type="dxa"/>
            <w:vAlign w:val="center"/>
          </w:tcPr>
          <w:p w14:paraId="5C1C8F1A" w14:textId="77777777" w:rsidR="00694E42" w:rsidRDefault="001960E9" w:rsidP="00837B13">
            <w:pPr>
              <w:pStyle w:val="TablebodyChargestables-size10"/>
            </w:pPr>
            <w:r>
              <w:t xml:space="preserve">First release. </w:t>
            </w:r>
          </w:p>
          <w:p w14:paraId="743750A1" w14:textId="039CB62A" w:rsidR="001960E9" w:rsidRDefault="001960E9" w:rsidP="00837B13">
            <w:pPr>
              <w:pStyle w:val="TablebodyChargestables-size10"/>
            </w:pPr>
            <w:r w:rsidRPr="00A65D3E">
              <w:t>New N</w:t>
            </w:r>
            <w:r w:rsidR="00CA3099">
              <w:t>ational Legal Direction</w:t>
            </w:r>
            <w:r w:rsidRPr="00A65D3E">
              <w:t xml:space="preserve"> as part of </w:t>
            </w:r>
            <w:r w:rsidR="00CA3099">
              <w:t>Guidelines and Directions Manual</w:t>
            </w:r>
            <w:r w:rsidRPr="00A65D3E">
              <w:t xml:space="preserve"> Conversion</w:t>
            </w:r>
            <w:r>
              <w:t xml:space="preserve">, including </w:t>
            </w:r>
            <w:r w:rsidRPr="001B0E38">
              <w:t>Chapter 8</w:t>
            </w:r>
            <w:r>
              <w:t>: “</w:t>
            </w:r>
            <w:r w:rsidRPr="001B0E38">
              <w:t>Transferring and reinstituting proceedings</w:t>
            </w:r>
            <w:r>
              <w:t>”</w:t>
            </w:r>
            <w:r w:rsidR="00694E42">
              <w:t>.</w:t>
            </w:r>
          </w:p>
        </w:tc>
        <w:tc>
          <w:tcPr>
            <w:tcW w:w="1411" w:type="dxa"/>
          </w:tcPr>
          <w:p w14:paraId="091D18B8" w14:textId="7FB34C47" w:rsidR="001960E9" w:rsidRDefault="00AD2EA1" w:rsidP="00F067EE">
            <w:pPr>
              <w:pStyle w:val="TablebodyChargestables-size10"/>
            </w:pPr>
            <w:r>
              <w:t>May 2027</w:t>
            </w:r>
          </w:p>
        </w:tc>
      </w:tr>
    </w:tbl>
    <w:p w14:paraId="546EE437" w14:textId="77777777" w:rsidR="00837B13" w:rsidRDefault="00837B13" w:rsidP="00837B13">
      <w:pPr>
        <w:pStyle w:val="NumberedList1"/>
        <w:numPr>
          <w:ilvl w:val="0"/>
          <w:numId w:val="0"/>
        </w:numPr>
      </w:pPr>
    </w:p>
    <w:sectPr w:rsidR="00837B13" w:rsidSect="00835E44">
      <w:headerReference w:type="default" r:id="rId11"/>
      <w:footerReference w:type="default" r:id="rId12"/>
      <w:headerReference w:type="first" r:id="rId13"/>
      <w:footerReference w:type="first" r:id="rId14"/>
      <w:pgSz w:w="11906" w:h="16838"/>
      <w:pgMar w:top="1134" w:right="1134" w:bottom="1134" w:left="1134"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4301C" w14:textId="77777777" w:rsidR="009E0B73" w:rsidRDefault="009E0B73" w:rsidP="00DF11DB">
      <w:pPr>
        <w:spacing w:before="0" w:line="240" w:lineRule="auto"/>
      </w:pPr>
      <w:r>
        <w:separator/>
      </w:r>
    </w:p>
  </w:endnote>
  <w:endnote w:type="continuationSeparator" w:id="0">
    <w:p w14:paraId="35D216C5" w14:textId="77777777" w:rsidR="009E0B73" w:rsidRDefault="009E0B73" w:rsidP="00DF11DB">
      <w:pPr>
        <w:spacing w:before="0" w:line="240" w:lineRule="auto"/>
      </w:pPr>
      <w:r>
        <w:continuationSeparator/>
      </w:r>
    </w:p>
  </w:endnote>
  <w:endnote w:type="continuationNotice" w:id="1">
    <w:p w14:paraId="0653F86B" w14:textId="77777777" w:rsidR="009E0B73" w:rsidRDefault="009E0B7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ld">
    <w:altName w:val="Calibri"/>
    <w:panose1 w:val="020F0702030404030204"/>
    <w:charset w:val="00"/>
    <w:family w:val="auto"/>
    <w:pitch w:val="variable"/>
    <w:sig w:usb0="E10002FF" w:usb1="4000ACFF" w:usb2="00000009" w:usb3="00000000" w:csb0="000001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902991"/>
      <w:docPartObj>
        <w:docPartGallery w:val="Page Numbers (Bottom of Page)"/>
        <w:docPartUnique/>
      </w:docPartObj>
    </w:sdtPr>
    <w:sdtEndPr>
      <w:rPr>
        <w:noProof/>
      </w:rPr>
    </w:sdtEndPr>
    <w:sdtContent>
      <w:p w14:paraId="3EA82F9C" w14:textId="7EA1721E" w:rsidR="002B62F1" w:rsidRPr="006026A5" w:rsidRDefault="002B62F1" w:rsidP="002B62F1">
        <w:pPr>
          <w:pStyle w:val="Footer"/>
          <w:spacing w:before="120"/>
          <w:jc w:val="center"/>
          <w:rPr>
            <w:b/>
            <w:bCs/>
          </w:rPr>
        </w:pPr>
      </w:p>
      <w:p w14:paraId="5537456B" w14:textId="77777777" w:rsidR="008F408B" w:rsidRDefault="008F408B" w:rsidP="002B62F1">
        <w:pPr>
          <w:pStyle w:val="Footer"/>
          <w:spacing w:before="12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856749"/>
      <w:docPartObj>
        <w:docPartGallery w:val="Page Numbers (Bottom of Page)"/>
        <w:docPartUnique/>
      </w:docPartObj>
    </w:sdtPr>
    <w:sdtEndPr>
      <w:rPr>
        <w:noProof/>
      </w:rPr>
    </w:sdtEndPr>
    <w:sdtContent>
      <w:p w14:paraId="60AF6FCB" w14:textId="77777777" w:rsidR="007B094C" w:rsidRDefault="007B094C" w:rsidP="00814F30">
        <w:pPr>
          <w:pStyle w:val="Footer"/>
          <w:spacing w:before="12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B7EB" w14:textId="77777777" w:rsidR="009E0B73" w:rsidRDefault="009E0B73" w:rsidP="00DF11DB">
      <w:pPr>
        <w:spacing w:before="0" w:line="240" w:lineRule="auto"/>
      </w:pPr>
      <w:r>
        <w:separator/>
      </w:r>
    </w:p>
  </w:footnote>
  <w:footnote w:type="continuationSeparator" w:id="0">
    <w:p w14:paraId="4F4ADE4F" w14:textId="77777777" w:rsidR="009E0B73" w:rsidRDefault="009E0B73" w:rsidP="00DF11DB">
      <w:pPr>
        <w:spacing w:before="0" w:line="240" w:lineRule="auto"/>
      </w:pPr>
      <w:r>
        <w:continuationSeparator/>
      </w:r>
    </w:p>
  </w:footnote>
  <w:footnote w:type="continuationNotice" w:id="1">
    <w:p w14:paraId="45582FC8" w14:textId="77777777" w:rsidR="009E0B73" w:rsidRDefault="009E0B73">
      <w:pPr>
        <w:spacing w:before="0" w:line="240" w:lineRule="auto"/>
      </w:pPr>
    </w:p>
  </w:footnote>
  <w:footnote w:id="2">
    <w:p w14:paraId="033074F7" w14:textId="0CC76EFD" w:rsidR="008C70C9" w:rsidRDefault="008C70C9" w:rsidP="008C70C9">
      <w:pPr>
        <w:pStyle w:val="FootnoteText"/>
        <w:ind w:left="680" w:hanging="680"/>
      </w:pPr>
      <w:r>
        <w:rPr>
          <w:rStyle w:val="FootnoteReference"/>
        </w:rPr>
        <w:footnoteRef/>
      </w:r>
      <w:r>
        <w:tab/>
      </w:r>
      <w:r w:rsidRPr="008C70C9">
        <w:t xml:space="preserve">References to the law, policies and guidelines </w:t>
      </w:r>
      <w:r>
        <w:t>are</w:t>
      </w:r>
      <w:r w:rsidRPr="008C70C9">
        <w:t xml:space="preserve"> current as at the date of publication. </w:t>
      </w:r>
      <w:r>
        <w:t>User</w:t>
      </w:r>
      <w:r w:rsidRPr="008C70C9">
        <w:t xml:space="preserve">s should confirm the currency of all source material at the time </w:t>
      </w:r>
      <w:r>
        <w:t>of using this document.</w:t>
      </w:r>
    </w:p>
  </w:footnote>
  <w:footnote w:id="3">
    <w:p w14:paraId="006C6297" w14:textId="09B5A662" w:rsidR="00CD7059" w:rsidRDefault="00CD7059" w:rsidP="007D4F72">
      <w:pPr>
        <w:pStyle w:val="FootnoteText1"/>
      </w:pPr>
      <w:r>
        <w:rPr>
          <w:rStyle w:val="FootnoteReference"/>
        </w:rPr>
        <w:footnoteRef/>
      </w:r>
      <w:r>
        <w:t xml:space="preserve"> </w:t>
      </w:r>
      <w:r w:rsidR="003D6C15">
        <w:tab/>
      </w:r>
      <w:r w:rsidR="00673E0D" w:rsidRPr="001E1E34">
        <w:rPr>
          <w:i/>
          <w:iCs/>
        </w:rPr>
        <w:t xml:space="preserve">Australian </w:t>
      </w:r>
      <w:r w:rsidRPr="001E1E34">
        <w:rPr>
          <w:i/>
          <w:iCs/>
        </w:rPr>
        <w:t>Constitution</w:t>
      </w:r>
      <w:r w:rsidR="00497D75">
        <w:t xml:space="preserve"> </w:t>
      </w:r>
      <w:r w:rsidR="0000478F">
        <w:t>s 71</w:t>
      </w:r>
      <w:r>
        <w:t>.</w:t>
      </w:r>
    </w:p>
  </w:footnote>
  <w:footnote w:id="4">
    <w:p w14:paraId="55128F25" w14:textId="18CF6E72" w:rsidR="00395A70" w:rsidRPr="00A65D3E" w:rsidRDefault="00395A70" w:rsidP="007D4F72">
      <w:pPr>
        <w:pStyle w:val="FootnoteText1"/>
      </w:pPr>
    </w:p>
  </w:footnote>
  <w:footnote w:id="5">
    <w:p w14:paraId="3D161789" w14:textId="77777777" w:rsidR="00A66D6F" w:rsidRPr="00A65D3E" w:rsidRDefault="00A66D6F" w:rsidP="00A66D6F">
      <w:pPr>
        <w:pStyle w:val="FootnoteText1"/>
      </w:pPr>
      <w:r w:rsidRPr="00A65D3E">
        <w:rPr>
          <w:rStyle w:val="FootnoteReference"/>
        </w:rPr>
        <w:footnoteRef/>
      </w:r>
      <w:r w:rsidRPr="00A65D3E">
        <w:t xml:space="preserve"> </w:t>
      </w:r>
      <w:r>
        <w:tab/>
      </w:r>
      <w:r w:rsidRPr="00A65D3E">
        <w:t>See</w:t>
      </w:r>
      <w:r>
        <w:t xml:space="preserve"> </w:t>
      </w:r>
      <w:r w:rsidRPr="008C6FA9">
        <w:rPr>
          <w:i/>
          <w:iCs/>
        </w:rPr>
        <w:t>Magistrates Court Act 1930</w:t>
      </w:r>
      <w:r w:rsidRPr="008C6FA9">
        <w:t xml:space="preserve"> (ACT) s 110; </w:t>
      </w:r>
      <w:r w:rsidRPr="008C6FA9">
        <w:rPr>
          <w:i/>
          <w:iCs/>
        </w:rPr>
        <w:t xml:space="preserve">Criminal Procedure Act 1986 </w:t>
      </w:r>
      <w:r w:rsidRPr="008C6FA9">
        <w:t xml:space="preserve">(NSW) s 196; </w:t>
      </w:r>
      <w:r w:rsidRPr="001C0C18">
        <w:rPr>
          <w:i/>
          <w:iCs/>
        </w:rPr>
        <w:t>Local Court (Criminal Procedure) Act 1928</w:t>
      </w:r>
      <w:r w:rsidRPr="008C6FA9">
        <w:t xml:space="preserve"> (NT) s 62; </w:t>
      </w:r>
      <w:r w:rsidRPr="001C0C18">
        <w:rPr>
          <w:i/>
          <w:iCs/>
        </w:rPr>
        <w:t>Justices Act 1886</w:t>
      </w:r>
      <w:r w:rsidRPr="008C6FA9">
        <w:t xml:space="preserve"> (Qld) s 142; </w:t>
      </w:r>
      <w:r w:rsidRPr="001C0C18">
        <w:rPr>
          <w:i/>
          <w:iCs/>
        </w:rPr>
        <w:t>Criminal Procedure Act 1921</w:t>
      </w:r>
      <w:r w:rsidRPr="008C6FA9">
        <w:t xml:space="preserve"> (SA) ss 62, 62A and 62B; </w:t>
      </w:r>
      <w:r w:rsidRPr="001C0C18">
        <w:rPr>
          <w:i/>
          <w:iCs/>
        </w:rPr>
        <w:t>Justices Rules 2003</w:t>
      </w:r>
      <w:r w:rsidRPr="008C6FA9">
        <w:t xml:space="preserve"> (Tas) r 34</w:t>
      </w:r>
      <w:r w:rsidRPr="001C0C18">
        <w:rPr>
          <w:i/>
          <w:iCs/>
        </w:rPr>
        <w:t>; Criminal Procedure Act 2009</w:t>
      </w:r>
      <w:r w:rsidRPr="008C6FA9">
        <w:t xml:space="preserve"> (Vic) ss 25 and 80; C</w:t>
      </w:r>
      <w:r w:rsidRPr="001C0C18">
        <w:rPr>
          <w:i/>
          <w:iCs/>
        </w:rPr>
        <w:t>riminal Procedure Act 2004</w:t>
      </w:r>
      <w:r w:rsidRPr="008C6FA9">
        <w:t xml:space="preserve"> (WA) ss 51 and 55.</w:t>
      </w:r>
    </w:p>
  </w:footnote>
  <w:footnote w:id="6">
    <w:p w14:paraId="1C832A2A" w14:textId="7BDA6820" w:rsidR="00123570" w:rsidRDefault="00123570" w:rsidP="007D4F72">
      <w:pPr>
        <w:pStyle w:val="FootnoteText1"/>
        <w:rPr>
          <w:rFonts w:asciiTheme="minorHAnsi" w:hAnsiTheme="minorHAnsi"/>
          <w:kern w:val="2"/>
          <w14:ligatures w14:val="standardContextual"/>
        </w:rPr>
      </w:pPr>
      <w:r>
        <w:rPr>
          <w:rStyle w:val="FootnoteReference"/>
        </w:rPr>
        <w:footnoteRef/>
      </w:r>
      <w:r>
        <w:t xml:space="preserve"> </w:t>
      </w:r>
      <w:r w:rsidR="007D4F72">
        <w:tab/>
      </w:r>
      <w:r w:rsidRPr="007D4F72">
        <w:t>Constitution</w:t>
      </w:r>
      <w:r w:rsidR="003E3C2D">
        <w:t xml:space="preserve"> </w:t>
      </w:r>
      <w:r w:rsidR="003E3C2D" w:rsidRPr="00AD4B3F">
        <w:t>s 80</w:t>
      </w:r>
      <w:r w:rsidRPr="003E3C2D">
        <w:t>.</w:t>
      </w:r>
    </w:p>
  </w:footnote>
  <w:footnote w:id="7">
    <w:p w14:paraId="6EF560CD" w14:textId="097889B0" w:rsidR="00123570" w:rsidRPr="00CD7530" w:rsidRDefault="00123570" w:rsidP="007D4F72">
      <w:pPr>
        <w:pStyle w:val="FootnoteText1"/>
      </w:pPr>
      <w:r>
        <w:rPr>
          <w:rStyle w:val="FootnoteReference"/>
        </w:rPr>
        <w:footnoteRef/>
      </w:r>
      <w:r>
        <w:t xml:space="preserve"> </w:t>
      </w:r>
      <w:r w:rsidR="004E5052">
        <w:tab/>
      </w:r>
      <w:r w:rsidR="00E13CA9" w:rsidRPr="00657CC4" w:rsidDel="00657CC4">
        <w:t xml:space="preserve">See </w:t>
      </w:r>
      <w:r w:rsidR="009821AF" w:rsidRPr="00AE7A30" w:rsidDel="00657CC4">
        <w:rPr>
          <w:i/>
        </w:rPr>
        <w:t>Brown v R</w:t>
      </w:r>
      <w:r w:rsidR="009821AF" w:rsidRPr="00AE7A30" w:rsidDel="00657CC4">
        <w:rPr>
          <w:i/>
          <w:iCs/>
        </w:rPr>
        <w:t xml:space="preserve"> </w:t>
      </w:r>
      <w:hyperlink r:id="rId1" w:history="1">
        <w:r w:rsidR="00360EAD" w:rsidRPr="00A931FF">
          <w:rPr>
            <w:rStyle w:val="Hyperlink"/>
          </w:rPr>
          <w:t xml:space="preserve">[1986] </w:t>
        </w:r>
        <w:r w:rsidR="00360EAD" w:rsidRPr="00AE7A30">
          <w:rPr>
            <w:rStyle w:val="FollowedHyperlink"/>
          </w:rPr>
          <w:t>HCA</w:t>
        </w:r>
        <w:r w:rsidR="00360EAD" w:rsidRPr="00A931FF">
          <w:rPr>
            <w:rStyle w:val="Hyperlink"/>
          </w:rPr>
          <w:t xml:space="preserve"> 11</w:t>
        </w:r>
      </w:hyperlink>
      <w:r w:rsidR="00360EAD">
        <w:t xml:space="preserve">; </w:t>
      </w:r>
      <w:r w:rsidR="00946038" w:rsidRPr="00AE7A30" w:rsidDel="00657CC4">
        <w:t>(1986) 160 CLR 171</w:t>
      </w:r>
      <w:r w:rsidR="00997F71" w:rsidRPr="00657CC4" w:rsidDel="00657CC4">
        <w:t xml:space="preserve">, </w:t>
      </w:r>
      <w:r w:rsidR="00C3092A" w:rsidRPr="00657CC4" w:rsidDel="00657CC4">
        <w:t>195 (Brennan J), 204 (Deane J), 214 (Dawson J)</w:t>
      </w:r>
      <w:r w:rsidR="00360EAD">
        <w:t>,</w:t>
      </w:r>
      <w:r w:rsidR="00E13CA9" w:rsidRPr="00657CC4" w:rsidDel="00657CC4">
        <w:t xml:space="preserve"> in which the Court concluded that</w:t>
      </w:r>
      <w:r w:rsidR="000939C1" w:rsidRPr="00657CC4" w:rsidDel="00657CC4">
        <w:t xml:space="preserve"> an accused person could not waive the </w:t>
      </w:r>
      <w:r w:rsidR="00F9235C" w:rsidRPr="00657CC4" w:rsidDel="00657CC4">
        <w:t>requirement</w:t>
      </w:r>
      <w:r w:rsidR="000939C1" w:rsidRPr="00657CC4" w:rsidDel="00657CC4">
        <w:t xml:space="preserve"> of a trial by jury pursuant to s</w:t>
      </w:r>
      <w:r w:rsidR="00E576B7">
        <w:t> </w:t>
      </w:r>
      <w:r w:rsidR="000939C1" w:rsidRPr="00657CC4" w:rsidDel="00657CC4">
        <w:t xml:space="preserve">80 of the </w:t>
      </w:r>
      <w:r w:rsidR="00F9235C" w:rsidRPr="00657CC4" w:rsidDel="00657CC4">
        <w:rPr>
          <w:i/>
          <w:iCs/>
        </w:rPr>
        <w:t>Constitution</w:t>
      </w:r>
      <w:r w:rsidR="00F9235C" w:rsidRPr="00657CC4">
        <w:rPr>
          <w:i/>
          <w:iCs/>
        </w:rPr>
        <w:t>.</w:t>
      </w:r>
      <w:r w:rsidR="00A0280B" w:rsidRPr="00657CC4" w:rsidDel="00657CC4">
        <w:rPr>
          <w:i/>
          <w:iCs/>
        </w:rPr>
        <w:t xml:space="preserve"> </w:t>
      </w:r>
      <w:r w:rsidR="00657CC4" w:rsidRPr="00657CC4">
        <w:t xml:space="preserve">See also, </w:t>
      </w:r>
      <w:proofErr w:type="spellStart"/>
      <w:r w:rsidR="000667BF" w:rsidRPr="00AE7A30">
        <w:rPr>
          <w:i/>
        </w:rPr>
        <w:t>Alqudsi</w:t>
      </w:r>
      <w:proofErr w:type="spellEnd"/>
      <w:r w:rsidR="000667BF" w:rsidRPr="00AE7A30">
        <w:rPr>
          <w:i/>
        </w:rPr>
        <w:t xml:space="preserve"> v The Queen</w:t>
      </w:r>
      <w:r w:rsidR="000667BF" w:rsidRPr="00AE7A30">
        <w:t xml:space="preserve"> </w:t>
      </w:r>
      <w:hyperlink r:id="rId2" w:history="1">
        <w:r w:rsidR="00360EAD" w:rsidRPr="00752B58">
          <w:rPr>
            <w:rStyle w:val="Hyperlink"/>
          </w:rPr>
          <w:t>[2016] HCA 24</w:t>
        </w:r>
      </w:hyperlink>
      <w:r w:rsidR="00360EAD">
        <w:t xml:space="preserve">; </w:t>
      </w:r>
      <w:r w:rsidR="00946038" w:rsidRPr="00AE7A30">
        <w:t>(2016) 258 CLR 203</w:t>
      </w:r>
      <w:r w:rsidR="00657CC4" w:rsidRPr="00657CC4">
        <w:t>, 249 [113], 261 [154] (</w:t>
      </w:r>
      <w:proofErr w:type="spellStart"/>
      <w:r w:rsidR="00657CC4" w:rsidRPr="00657CC4">
        <w:t>Kiefel</w:t>
      </w:r>
      <w:proofErr w:type="spellEnd"/>
      <w:r w:rsidR="00657CC4" w:rsidRPr="00657CC4">
        <w:t>, Bell and Keane</w:t>
      </w:r>
      <w:r w:rsidR="00835E44">
        <w:t> </w:t>
      </w:r>
      <w:r w:rsidR="00657CC4" w:rsidRPr="00657CC4">
        <w:t>JJ)</w:t>
      </w:r>
      <w:r w:rsidR="00360EAD">
        <w:t>.</w:t>
      </w:r>
    </w:p>
  </w:footnote>
  <w:footnote w:id="8">
    <w:p w14:paraId="4A30E856" w14:textId="74EC399C" w:rsidR="00B13F86" w:rsidRDefault="00B13F86">
      <w:pPr>
        <w:pStyle w:val="FootnoteText"/>
      </w:pPr>
      <w:r>
        <w:rPr>
          <w:rStyle w:val="FootnoteReference"/>
        </w:rPr>
        <w:footnoteRef/>
      </w:r>
      <w:r>
        <w:tab/>
        <w:t>Offences committed in several States.</w:t>
      </w:r>
    </w:p>
  </w:footnote>
  <w:footnote w:id="9">
    <w:p w14:paraId="568F869E" w14:textId="2E651119" w:rsidR="00123570" w:rsidRDefault="00123570" w:rsidP="007D4F72">
      <w:pPr>
        <w:pStyle w:val="FootnoteText1"/>
      </w:pPr>
      <w:r>
        <w:rPr>
          <w:rStyle w:val="FootnoteReference"/>
        </w:rPr>
        <w:footnoteRef/>
      </w:r>
      <w:r>
        <w:t xml:space="preserve"> </w:t>
      </w:r>
      <w:r w:rsidR="00B0764D">
        <w:tab/>
      </w:r>
      <w:r w:rsidR="00270239">
        <w:t xml:space="preserve">See </w:t>
      </w:r>
      <w:r w:rsidR="00B133CB" w:rsidRPr="00AE7A30">
        <w:rPr>
          <w:i/>
        </w:rPr>
        <w:t>The Queen v Huston</w:t>
      </w:r>
      <w:r w:rsidR="00B133CB" w:rsidRPr="00AE7A30">
        <w:t xml:space="preserve"> </w:t>
      </w:r>
      <w:hyperlink r:id="rId3" w:history="1">
        <w:r w:rsidR="00D8211D" w:rsidRPr="00491AFD">
          <w:rPr>
            <w:rStyle w:val="Hyperlink"/>
          </w:rPr>
          <w:t>[2011] QCA 349</w:t>
        </w:r>
      </w:hyperlink>
      <w:r w:rsidR="00D8211D">
        <w:t>;</w:t>
      </w:r>
      <w:r w:rsidR="00D8211D" w:rsidRPr="00D8211D">
        <w:t xml:space="preserve"> </w:t>
      </w:r>
      <w:r w:rsidR="00946038" w:rsidRPr="00AE7A30">
        <w:t>(2011) 219 A Crim R 15</w:t>
      </w:r>
      <w:r w:rsidR="00B133CB" w:rsidRPr="00AE7A30">
        <w:t>3</w:t>
      </w:r>
      <w:r w:rsidR="00827AEC">
        <w:t xml:space="preserve">, </w:t>
      </w:r>
      <w:r w:rsidR="008E050C">
        <w:t>154 [42]-[46],</w:t>
      </w:r>
      <w:r w:rsidR="00532820">
        <w:t xml:space="preserve"> 158 [59]-[64]</w:t>
      </w:r>
      <w:r w:rsidR="00625A12">
        <w:t xml:space="preserve"> (Kennedy, </w:t>
      </w:r>
      <w:proofErr w:type="spellStart"/>
      <w:r w:rsidR="00625A12">
        <w:t>Ipp</w:t>
      </w:r>
      <w:proofErr w:type="spellEnd"/>
      <w:r w:rsidR="00625A12">
        <w:t xml:space="preserve"> and Owen JJ)</w:t>
      </w:r>
      <w:r w:rsidR="006921B9">
        <w:t>.</w:t>
      </w:r>
    </w:p>
  </w:footnote>
  <w:footnote w:id="10">
    <w:p w14:paraId="2C190121" w14:textId="773EE679" w:rsidR="00EA1E9D" w:rsidRDefault="00EA1E9D" w:rsidP="00AE7A30">
      <w:pPr>
        <w:pStyle w:val="FootnoteText1"/>
      </w:pPr>
      <w:r>
        <w:rPr>
          <w:rStyle w:val="FootnoteReference"/>
        </w:rPr>
        <w:footnoteRef/>
      </w:r>
      <w:r>
        <w:t xml:space="preserve"> </w:t>
      </w:r>
      <w:r w:rsidR="00EE308D">
        <w:tab/>
      </w:r>
      <w:proofErr w:type="spellStart"/>
      <w:r w:rsidR="00491AFD" w:rsidRPr="00AE7A30">
        <w:rPr>
          <w:i/>
          <w:iCs/>
        </w:rPr>
        <w:t>Leeth</w:t>
      </w:r>
      <w:proofErr w:type="spellEnd"/>
      <w:r w:rsidR="00491AFD" w:rsidRPr="00AE7A30">
        <w:rPr>
          <w:i/>
          <w:iCs/>
        </w:rPr>
        <w:t xml:space="preserve"> v Commonwealth</w:t>
      </w:r>
      <w:r w:rsidR="00491AFD" w:rsidRPr="00AE7A30">
        <w:t xml:space="preserve"> </w:t>
      </w:r>
      <w:hyperlink r:id="rId4" w:history="1">
        <w:r w:rsidR="00360EAD" w:rsidRPr="00DE3432">
          <w:rPr>
            <w:rStyle w:val="Hyperlink"/>
          </w:rPr>
          <w:t>[1992] HCA 29</w:t>
        </w:r>
      </w:hyperlink>
      <w:r w:rsidR="00360EAD">
        <w:t xml:space="preserve">; </w:t>
      </w:r>
      <w:r w:rsidR="00946038" w:rsidRPr="00AE7A30">
        <w:t>(1992) 174 CLR 455</w:t>
      </w:r>
      <w:r w:rsidR="00EE308D">
        <w:t>, 475 (Brennan J)</w:t>
      </w:r>
      <w:r w:rsidR="00360EAD">
        <w:t>.</w:t>
      </w:r>
    </w:p>
  </w:footnote>
  <w:footnote w:id="11">
    <w:p w14:paraId="607D5C68" w14:textId="7EC0E7A3" w:rsidR="00640CB3" w:rsidRPr="00A65D3E" w:rsidRDefault="00640CB3" w:rsidP="00640CB3">
      <w:pPr>
        <w:pStyle w:val="FootnoteText1"/>
      </w:pPr>
      <w:r w:rsidRPr="00A65D3E">
        <w:rPr>
          <w:rStyle w:val="FootnoteReference"/>
        </w:rPr>
        <w:footnoteRef/>
      </w:r>
      <w:r w:rsidRPr="00A65D3E">
        <w:t xml:space="preserve"> </w:t>
      </w:r>
      <w:r>
        <w:tab/>
      </w:r>
      <w:proofErr w:type="spellStart"/>
      <w:r w:rsidRPr="009356ED">
        <w:rPr>
          <w:i/>
        </w:rPr>
        <w:t>Pinkstone</w:t>
      </w:r>
      <w:proofErr w:type="spellEnd"/>
      <w:r w:rsidRPr="009356ED">
        <w:rPr>
          <w:i/>
        </w:rPr>
        <w:t xml:space="preserve"> v R</w:t>
      </w:r>
      <w:r w:rsidRPr="009356ED">
        <w:t xml:space="preserve"> </w:t>
      </w:r>
      <w:hyperlink r:id="rId5" w:history="1">
        <w:r w:rsidR="00360EAD" w:rsidRPr="0098436D">
          <w:rPr>
            <w:rStyle w:val="Hyperlink"/>
            <w:rFonts w:cs="Calibri"/>
          </w:rPr>
          <w:t>[2000] WASCA 367</w:t>
        </w:r>
      </w:hyperlink>
      <w:r w:rsidR="00360EAD">
        <w:t xml:space="preserve">; </w:t>
      </w:r>
      <w:r w:rsidRPr="009356ED">
        <w:t>(2000) 117 A Crim R 111</w:t>
      </w:r>
      <w:r w:rsidRPr="00CF2EFF">
        <w:t xml:space="preserve">, 113 [11] (Kennedy, </w:t>
      </w:r>
      <w:proofErr w:type="spellStart"/>
      <w:r w:rsidRPr="00CF2EFF">
        <w:t>Ipp</w:t>
      </w:r>
      <w:proofErr w:type="spellEnd"/>
      <w:r w:rsidRPr="00CF2EFF">
        <w:t xml:space="preserve"> and Owen JJ)</w:t>
      </w:r>
      <w:r w:rsidR="00360EAD">
        <w:t>.</w:t>
      </w:r>
    </w:p>
  </w:footnote>
  <w:footnote w:id="12">
    <w:p w14:paraId="2EF5CCBF" w14:textId="6D3D4D72" w:rsidR="00395A70" w:rsidRPr="00A65D3E" w:rsidRDefault="00395A70" w:rsidP="007D4F72">
      <w:pPr>
        <w:pStyle w:val="FootnoteText1"/>
      </w:pPr>
      <w:r w:rsidRPr="00A65D3E">
        <w:rPr>
          <w:rStyle w:val="FootnoteReference"/>
        </w:rPr>
        <w:footnoteRef/>
      </w:r>
      <w:r w:rsidRPr="00A65D3E">
        <w:t xml:space="preserve"> </w:t>
      </w:r>
      <w:r w:rsidR="00B0764D">
        <w:tab/>
      </w:r>
      <w:r w:rsidRPr="00A65D3E">
        <w:t xml:space="preserve">Where a plea has been negotiated at the committal phase, and where </w:t>
      </w:r>
      <w:r w:rsidR="008E5E7C">
        <w:t>the defendant</w:t>
      </w:r>
      <w:r w:rsidR="008E5E7C" w:rsidRPr="00A65D3E">
        <w:t xml:space="preserve"> </w:t>
      </w:r>
      <w:r w:rsidRPr="00A65D3E">
        <w:t>consent</w:t>
      </w:r>
      <w:r w:rsidR="008E5E7C">
        <w:t>s</w:t>
      </w:r>
      <w:r w:rsidRPr="00A65D3E">
        <w:t>, it might be appropriate and efficient to proceed by way o</w:t>
      </w:r>
      <w:r w:rsidRPr="00A323FB">
        <w:t>f an ex officio indictment</w:t>
      </w:r>
      <w:r w:rsidRPr="00A65D3E">
        <w:t xml:space="preserve"> in the new jurisdiction.</w:t>
      </w:r>
    </w:p>
  </w:footnote>
  <w:footnote w:id="13">
    <w:p w14:paraId="4F0BA6C0" w14:textId="303FFA44" w:rsidR="00802B25" w:rsidRDefault="00802B25" w:rsidP="00AE7A30">
      <w:pPr>
        <w:pStyle w:val="FootnoteText"/>
        <w:ind w:left="680" w:hanging="680"/>
      </w:pPr>
      <w:r>
        <w:rPr>
          <w:rStyle w:val="FootnoteReference"/>
        </w:rPr>
        <w:footnoteRef/>
      </w:r>
      <w:r>
        <w:t xml:space="preserve"> </w:t>
      </w:r>
      <w:r w:rsidR="00D14E6B">
        <w:tab/>
        <w:t xml:space="preserve">The </w:t>
      </w:r>
      <w:hyperlink r:id="rId6" w:history="1">
        <w:r w:rsidR="00D14E6B" w:rsidRPr="00270E1E">
          <w:rPr>
            <w:rStyle w:val="Hyperlink"/>
          </w:rPr>
          <w:t xml:space="preserve">Victims of Crime </w:t>
        </w:r>
        <w:r w:rsidR="00270E1E" w:rsidRPr="00270E1E">
          <w:rPr>
            <w:rStyle w:val="Hyperlink"/>
          </w:rPr>
          <w:t>P</w:t>
        </w:r>
        <w:r w:rsidR="00D14E6B" w:rsidRPr="00270E1E">
          <w:rPr>
            <w:rStyle w:val="Hyperlink"/>
          </w:rPr>
          <w:t>olicy</w:t>
        </w:r>
      </w:hyperlink>
      <w:r w:rsidR="00D14E6B">
        <w:t xml:space="preserve"> defines </w:t>
      </w:r>
      <w:r w:rsidR="00C931EE">
        <w:t>“</w:t>
      </w:r>
      <w:r w:rsidR="00D14E6B">
        <w:t>victim</w:t>
      </w:r>
      <w:r w:rsidR="00C931EE">
        <w:t xml:space="preserve">” </w:t>
      </w:r>
      <w:r w:rsidR="006D3DD8">
        <w:t>to include</w:t>
      </w:r>
      <w:r w:rsidR="00D14E6B">
        <w:t xml:space="preserve"> “</w:t>
      </w:r>
      <w:r w:rsidR="006D3DD8" w:rsidRPr="006D3DD8">
        <w:t xml:space="preserve">an identified individual who has suffered harm as a direct result of an offence or offences committed, or apparently committed, against Commonwealth law or prosecuted by Commonwealth authorities. </w:t>
      </w:r>
      <w:r w:rsidR="006D3DD8">
        <w:t>‘</w:t>
      </w:r>
      <w:r w:rsidR="006D3DD8" w:rsidRPr="00AE7A30">
        <w:rPr>
          <w:i/>
          <w:iCs/>
        </w:rPr>
        <w:t>Harm</w:t>
      </w:r>
      <w:r w:rsidR="006D3DD8">
        <w:t>’</w:t>
      </w:r>
      <w:r w:rsidR="006D3DD8" w:rsidRPr="006D3DD8">
        <w:t xml:space="preserve"> includes physical or mental injury, pregnancy, emotional suffering or economic loss.</w:t>
      </w:r>
      <w:r w:rsidR="006D3DD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A61B" w14:textId="1E274DBA" w:rsidR="008F408B" w:rsidRPr="008F408B" w:rsidRDefault="008F408B" w:rsidP="00835E44">
    <w:pPr>
      <w:pStyle w:val="Header"/>
      <w:tabs>
        <w:tab w:val="clear" w:pos="4513"/>
        <w:tab w:val="center" w:pos="4253"/>
      </w:tabs>
      <w:rPr>
        <w:b/>
        <w:bCs/>
        <w:sz w:val="20"/>
        <w:szCs w:val="20"/>
      </w:rPr>
    </w:pPr>
    <w:r w:rsidRPr="008F408B">
      <w:rPr>
        <w:b/>
        <w:bCs/>
        <w:noProof/>
        <w:sz w:val="20"/>
        <w:szCs w:val="20"/>
      </w:rPr>
      <mc:AlternateContent>
        <mc:Choice Requires="wps">
          <w:drawing>
            <wp:anchor distT="0" distB="0" distL="114300" distR="114300" simplePos="0" relativeHeight="251658241" behindDoc="0" locked="0" layoutInCell="1" allowOverlap="1" wp14:anchorId="7A480274" wp14:editId="2518A124">
              <wp:simplePos x="0" y="0"/>
              <wp:positionH relativeFrom="column">
                <wp:posOffset>-17520</wp:posOffset>
              </wp:positionH>
              <wp:positionV relativeFrom="paragraph">
                <wp:posOffset>317206</wp:posOffset>
              </wp:positionV>
              <wp:extent cx="614660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46604"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E3768"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25pt" to="48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" strokecolor="#00b2dd [3206]"/>
          </w:pict>
        </mc:Fallback>
      </mc:AlternateContent>
    </w:r>
    <w:r w:rsidRPr="008F408B">
      <w:rPr>
        <w:b/>
        <w:bCs/>
        <w:sz w:val="20"/>
        <w:szCs w:val="20"/>
      </w:rPr>
      <w:t xml:space="preserve">Last update: </w:t>
    </w:r>
    <w:r w:rsidR="00AE7A30">
      <w:rPr>
        <w:b/>
        <w:bCs/>
        <w:sz w:val="20"/>
        <w:szCs w:val="20"/>
      </w:rPr>
      <w:t>May</w:t>
    </w:r>
    <w:r w:rsidR="00AE7A30" w:rsidRPr="008F408B">
      <w:rPr>
        <w:b/>
        <w:bCs/>
        <w:sz w:val="20"/>
        <w:szCs w:val="20"/>
      </w:rPr>
      <w:t xml:space="preserve"> </w:t>
    </w:r>
    <w:r w:rsidR="0038097A">
      <w:rPr>
        <w:b/>
        <w:bCs/>
        <w:sz w:val="20"/>
        <w:szCs w:val="20"/>
      </w:rPr>
      <w:t>2024</w:t>
    </w:r>
    <w:r w:rsidR="00835E44">
      <w:rPr>
        <w:b/>
        <w:bCs/>
        <w:sz w:val="20"/>
        <w:szCs w:val="20"/>
      </w:rPr>
      <w:tab/>
    </w:r>
    <w:r>
      <w:rPr>
        <w:b/>
        <w:bCs/>
        <w:sz w:val="20"/>
        <w:szCs w:val="20"/>
      </w:rPr>
      <w:tab/>
    </w:r>
    <w:r w:rsidRPr="008F408B">
      <w:rPr>
        <w:sz w:val="20"/>
        <w:szCs w:val="20"/>
      </w:rPr>
      <w:t xml:space="preserve">National Legal Direction | </w:t>
    </w:r>
    <w:r w:rsidR="00A65D3E">
      <w:rPr>
        <w:sz w:val="20"/>
        <w:szCs w:val="20"/>
      </w:rPr>
      <w:t>Determining the Appropriate Jurisdiction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7389" w14:textId="77777777" w:rsidR="00DF11DB" w:rsidRDefault="00DF11DB">
    <w:pPr>
      <w:pStyle w:val="Header"/>
    </w:pPr>
    <w:r w:rsidRPr="006A44C1">
      <w:rPr>
        <w:noProof/>
      </w:rPr>
      <w:drawing>
        <wp:anchor distT="0" distB="0" distL="114300" distR="114300" simplePos="0" relativeHeight="251658240" behindDoc="1" locked="0" layoutInCell="1" allowOverlap="1" wp14:anchorId="214BB260" wp14:editId="7006C1C6">
          <wp:simplePos x="0" y="0"/>
          <wp:positionH relativeFrom="page">
            <wp:posOffset>90170</wp:posOffset>
          </wp:positionH>
          <wp:positionV relativeFrom="paragraph">
            <wp:posOffset>-136113</wp:posOffset>
          </wp:positionV>
          <wp:extent cx="7380046" cy="128653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t="647" b="647"/>
                  <a:stretch>
                    <a:fillRect/>
                  </a:stretch>
                </pic:blipFill>
                <pic:spPr bwMode="auto">
                  <a:xfrm>
                    <a:off x="0" y="0"/>
                    <a:ext cx="7380046" cy="1286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0689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72B3A"/>
    <w:multiLevelType w:val="hybridMultilevel"/>
    <w:tmpl w:val="630C17E2"/>
    <w:lvl w:ilvl="0" w:tplc="6A907C6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5739DE"/>
    <w:multiLevelType w:val="multilevel"/>
    <w:tmpl w:val="DA92D1B0"/>
    <w:lvl w:ilvl="0">
      <w:start w:val="1"/>
      <w:numFmt w:val="upperLetter"/>
      <w:lvlText w:val="%1."/>
      <w:lvlJc w:val="left"/>
      <w:pPr>
        <w:ind w:left="360" w:hanging="360"/>
      </w:pPr>
      <w:rPr>
        <w:rFonts w:hint="default"/>
      </w:rPr>
    </w:lvl>
    <w:lvl w:ilvl="1">
      <w:start w:val="1"/>
      <w:numFmt w:val="decimal"/>
      <w:lvlRestart w:val="0"/>
      <w:pStyle w:val="NumberedParagraph"/>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2F6B80"/>
    <w:multiLevelType w:val="multilevel"/>
    <w:tmpl w:val="B6D6DC76"/>
    <w:styleLink w:val="Numberedlist"/>
    <w:lvl w:ilvl="0">
      <w:start w:val="1"/>
      <w:numFmt w:val="decimal"/>
      <w:pStyle w:val="NumberedList1"/>
      <w:lvlText w:val="%1."/>
      <w:lvlJc w:val="left"/>
      <w:pPr>
        <w:ind w:left="284" w:hanging="284"/>
      </w:pPr>
      <w:rPr>
        <w:rFonts w:hint="default"/>
        <w:b/>
      </w:rPr>
    </w:lvl>
    <w:lvl w:ilvl="1">
      <w:start w:val="1"/>
      <w:numFmt w:val="decimal"/>
      <w:lvlText w:val="%2."/>
      <w:lvlJc w:val="left"/>
      <w:pPr>
        <w:ind w:left="851" w:hanging="284"/>
      </w:pPr>
      <w:rPr>
        <w:rFonts w:hint="default"/>
        <w:b/>
      </w:rPr>
    </w:lvl>
    <w:lvl w:ilvl="2">
      <w:start w:val="1"/>
      <w:numFmt w:val="decimal"/>
      <w:pStyle w:val="NumberedList3"/>
      <w:lvlText w:val="(%3)"/>
      <w:lvlJc w:val="left"/>
      <w:pPr>
        <w:ind w:left="1418" w:hanging="284"/>
      </w:pPr>
      <w:rPr>
        <w:rFonts w:hint="default"/>
        <w:b/>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2101588"/>
    <w:multiLevelType w:val="hybridMultilevel"/>
    <w:tmpl w:val="3FA2AAF6"/>
    <w:lvl w:ilvl="0" w:tplc="225454DC">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18417C"/>
    <w:multiLevelType w:val="multilevel"/>
    <w:tmpl w:val="044A0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30D8A"/>
    <w:multiLevelType w:val="hybridMultilevel"/>
    <w:tmpl w:val="207460F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D36425"/>
    <w:multiLevelType w:val="hybridMultilevel"/>
    <w:tmpl w:val="B18E2B5A"/>
    <w:lvl w:ilvl="0" w:tplc="612AF9F8">
      <w:start w:val="1"/>
      <w:numFmt w:val="upperLetter"/>
      <w:pStyle w:val="Heading1"/>
      <w:lvlText w:val="%1."/>
      <w:lvlJc w:val="left"/>
      <w:pPr>
        <w:ind w:left="720" w:hanging="360"/>
      </w:pPr>
    </w:lvl>
    <w:lvl w:ilvl="1" w:tplc="43903EC2" w:tentative="1">
      <w:start w:val="1"/>
      <w:numFmt w:val="lowerLetter"/>
      <w:lvlText w:val="%2."/>
      <w:lvlJc w:val="left"/>
      <w:pPr>
        <w:ind w:left="1440" w:hanging="360"/>
      </w:pPr>
    </w:lvl>
    <w:lvl w:ilvl="2" w:tplc="0AC6C10A" w:tentative="1">
      <w:start w:val="1"/>
      <w:numFmt w:val="lowerRoman"/>
      <w:lvlText w:val="%3."/>
      <w:lvlJc w:val="right"/>
      <w:pPr>
        <w:ind w:left="2160" w:hanging="180"/>
      </w:pPr>
    </w:lvl>
    <w:lvl w:ilvl="3" w:tplc="1B5872FA" w:tentative="1">
      <w:start w:val="1"/>
      <w:numFmt w:val="decimal"/>
      <w:lvlText w:val="%4."/>
      <w:lvlJc w:val="left"/>
      <w:pPr>
        <w:ind w:left="2880" w:hanging="360"/>
      </w:pPr>
    </w:lvl>
    <w:lvl w:ilvl="4" w:tplc="68FC033C" w:tentative="1">
      <w:start w:val="1"/>
      <w:numFmt w:val="lowerLetter"/>
      <w:lvlText w:val="%5."/>
      <w:lvlJc w:val="left"/>
      <w:pPr>
        <w:ind w:left="3600" w:hanging="360"/>
      </w:pPr>
    </w:lvl>
    <w:lvl w:ilvl="5" w:tplc="60949212" w:tentative="1">
      <w:start w:val="1"/>
      <w:numFmt w:val="lowerRoman"/>
      <w:lvlText w:val="%6."/>
      <w:lvlJc w:val="right"/>
      <w:pPr>
        <w:ind w:left="4320" w:hanging="180"/>
      </w:pPr>
    </w:lvl>
    <w:lvl w:ilvl="6" w:tplc="3CCA9FD4" w:tentative="1">
      <w:start w:val="1"/>
      <w:numFmt w:val="decimal"/>
      <w:lvlText w:val="%7."/>
      <w:lvlJc w:val="left"/>
      <w:pPr>
        <w:ind w:left="5040" w:hanging="360"/>
      </w:pPr>
    </w:lvl>
    <w:lvl w:ilvl="7" w:tplc="0C1ABEC6" w:tentative="1">
      <w:start w:val="1"/>
      <w:numFmt w:val="lowerLetter"/>
      <w:lvlText w:val="%8."/>
      <w:lvlJc w:val="left"/>
      <w:pPr>
        <w:ind w:left="5760" w:hanging="360"/>
      </w:pPr>
    </w:lvl>
    <w:lvl w:ilvl="8" w:tplc="2B2EE626" w:tentative="1">
      <w:start w:val="1"/>
      <w:numFmt w:val="lowerRoman"/>
      <w:lvlText w:val="%9."/>
      <w:lvlJc w:val="right"/>
      <w:pPr>
        <w:ind w:left="6480" w:hanging="180"/>
      </w:pPr>
    </w:lvl>
  </w:abstractNum>
  <w:abstractNum w:abstractNumId="8" w15:restartNumberingAfterBreak="0">
    <w:nsid w:val="173D2FEA"/>
    <w:multiLevelType w:val="hybridMultilevel"/>
    <w:tmpl w:val="BCF8FE32"/>
    <w:lvl w:ilvl="0" w:tplc="0C090001">
      <w:start w:val="1"/>
      <w:numFmt w:val="bullet"/>
      <w:lvlText w:val=""/>
      <w:lvlJc w:val="left"/>
      <w:pPr>
        <w:ind w:left="1080" w:hanging="360"/>
      </w:pPr>
      <w:rPr>
        <w:rFonts w:ascii="Symbol" w:hAnsi="Symbol" w:hint="default"/>
      </w:rPr>
    </w:lvl>
    <w:lvl w:ilvl="1" w:tplc="0C09001B">
      <w:start w:val="1"/>
      <w:numFmt w:val="lowerRoman"/>
      <w:lvlText w:val="%2."/>
      <w:lvlJc w:val="righ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7CE6E33"/>
    <w:multiLevelType w:val="multilevel"/>
    <w:tmpl w:val="4F329068"/>
    <w:lvl w:ilvl="0">
      <w:start w:val="1"/>
      <w:numFmt w:val="decimal"/>
      <w:pStyle w:val="Para1123"/>
      <w:lvlText w:val="%1."/>
      <w:lvlJc w:val="left"/>
      <w:pPr>
        <w:ind w:left="680" w:hanging="680"/>
      </w:pPr>
      <w:rPr>
        <w:rFonts w:hint="default"/>
        <w:b w:val="0"/>
        <w:bCs w:val="0"/>
        <w:i w:val="0"/>
        <w:iCs w:val="0"/>
        <w:color w:val="auto"/>
      </w:rPr>
    </w:lvl>
    <w:lvl w:ilvl="1">
      <w:start w:val="1"/>
      <w:numFmt w:val="decimal"/>
      <w:pStyle w:val="Sub-para111213"/>
      <w:lvlText w:val="%1.%2."/>
      <w:lvlJc w:val="left"/>
      <w:pPr>
        <w:ind w:left="1360" w:hanging="680"/>
      </w:pPr>
      <w:rPr>
        <w:rFonts w:hint="default"/>
      </w:rPr>
    </w:lvl>
    <w:lvl w:ilvl="2">
      <w:start w:val="1"/>
      <w:numFmt w:val="lowerLetter"/>
      <w:pStyle w:val="Sub-subparaabc"/>
      <w:lvlText w:val="(%3)"/>
      <w:lvlJc w:val="left"/>
      <w:pPr>
        <w:ind w:left="2040" w:hanging="680"/>
      </w:pPr>
      <w:rPr>
        <w:rFonts w:hint="default"/>
      </w:rPr>
    </w:lvl>
    <w:lvl w:ilvl="3">
      <w:start w:val="1"/>
      <w:numFmt w:val="lowerRoman"/>
      <w:pStyle w:val="Sub-sub-subparai"/>
      <w:lvlText w:val="(%4)"/>
      <w:lvlJc w:val="left"/>
      <w:pPr>
        <w:ind w:left="2720" w:hanging="680"/>
      </w:pPr>
      <w:rPr>
        <w:rFonts w:hint="default"/>
      </w:rPr>
    </w:lvl>
    <w:lvl w:ilvl="4">
      <w:start w:val="1"/>
      <w:numFmt w:val="decimal"/>
      <w:lvlText w:val="%1.%2.%3.%4.%5."/>
      <w:lvlJc w:val="left"/>
      <w:pPr>
        <w:ind w:left="3400" w:hanging="680"/>
      </w:pPr>
      <w:rPr>
        <w:rFonts w:hint="default"/>
      </w:rPr>
    </w:lvl>
    <w:lvl w:ilvl="5">
      <w:start w:val="1"/>
      <w:numFmt w:val="decimal"/>
      <w:lvlText w:val="%1.%2.%3.%4.%5.%6."/>
      <w:lvlJc w:val="left"/>
      <w:pPr>
        <w:ind w:left="4080" w:hanging="680"/>
      </w:pPr>
      <w:rPr>
        <w:rFonts w:hint="default"/>
      </w:rPr>
    </w:lvl>
    <w:lvl w:ilvl="6">
      <w:start w:val="1"/>
      <w:numFmt w:val="decimal"/>
      <w:lvlText w:val="%1.%2.%3.%4.%5.%6.%7."/>
      <w:lvlJc w:val="left"/>
      <w:pPr>
        <w:ind w:left="4760" w:hanging="680"/>
      </w:pPr>
      <w:rPr>
        <w:rFonts w:hint="default"/>
      </w:rPr>
    </w:lvl>
    <w:lvl w:ilvl="7">
      <w:start w:val="1"/>
      <w:numFmt w:val="decimal"/>
      <w:lvlText w:val="%1.%2.%3.%4.%5.%6.%7.%8."/>
      <w:lvlJc w:val="left"/>
      <w:pPr>
        <w:ind w:left="5440" w:hanging="680"/>
      </w:pPr>
      <w:rPr>
        <w:rFonts w:hint="default"/>
      </w:rPr>
    </w:lvl>
    <w:lvl w:ilvl="8">
      <w:start w:val="1"/>
      <w:numFmt w:val="decimal"/>
      <w:lvlText w:val="%1.%2.%3.%4.%5.%6.%7.%8.%9."/>
      <w:lvlJc w:val="left"/>
      <w:pPr>
        <w:ind w:left="6120" w:hanging="680"/>
      </w:pPr>
      <w:rPr>
        <w:rFonts w:hint="default"/>
      </w:rPr>
    </w:lvl>
  </w:abstractNum>
  <w:abstractNum w:abstractNumId="10" w15:restartNumberingAfterBreak="0">
    <w:nsid w:val="195879F5"/>
    <w:multiLevelType w:val="hybridMultilevel"/>
    <w:tmpl w:val="F90025C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674506"/>
    <w:multiLevelType w:val="multilevel"/>
    <w:tmpl w:val="B6D6DC76"/>
    <w:numStyleLink w:val="Numberedlist"/>
  </w:abstractNum>
  <w:abstractNum w:abstractNumId="12" w15:restartNumberingAfterBreak="0">
    <w:nsid w:val="27C14A38"/>
    <w:multiLevelType w:val="hybridMultilevel"/>
    <w:tmpl w:val="F768E546"/>
    <w:lvl w:ilvl="0" w:tplc="0C090019">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3" w15:restartNumberingAfterBreak="0">
    <w:nsid w:val="349C7ECE"/>
    <w:multiLevelType w:val="hybridMultilevel"/>
    <w:tmpl w:val="E2C05A3E"/>
    <w:lvl w:ilvl="0" w:tplc="0C09001B">
      <w:start w:val="1"/>
      <w:numFmt w:val="lowerRoman"/>
      <w:lvlText w:val="%1."/>
      <w:lvlJc w:val="righ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AB1379"/>
    <w:multiLevelType w:val="hybridMultilevel"/>
    <w:tmpl w:val="085C048A"/>
    <w:lvl w:ilvl="0" w:tplc="6ECCF868">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76842DE"/>
    <w:multiLevelType w:val="hybridMultilevel"/>
    <w:tmpl w:val="3DBE103A"/>
    <w:lvl w:ilvl="0" w:tplc="D6287BDA">
      <w:start w:val="1"/>
      <w:numFmt w:val="decimal"/>
      <w:lvlText w:val="%1."/>
      <w:lvlJc w:val="left"/>
      <w:pPr>
        <w:ind w:left="1080" w:hanging="360"/>
      </w:pPr>
    </w:lvl>
    <w:lvl w:ilvl="1" w:tplc="34F40168">
      <w:start w:val="1"/>
      <w:numFmt w:val="lowerLetter"/>
      <w:lvlText w:val="%2."/>
      <w:lvlJc w:val="left"/>
      <w:pPr>
        <w:ind w:left="1800" w:hanging="360"/>
      </w:pPr>
    </w:lvl>
    <w:lvl w:ilvl="2" w:tplc="B194106A">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AC85834"/>
    <w:multiLevelType w:val="multilevel"/>
    <w:tmpl w:val="58F6463E"/>
    <w:lvl w:ilvl="0">
      <w:start w:val="1"/>
      <w:numFmt w:val="upperLetter"/>
      <w:lvlText w:val="%1."/>
      <w:lvlJc w:val="left"/>
      <w:pPr>
        <w:ind w:left="360" w:hanging="360"/>
      </w:pPr>
      <w:rPr>
        <w:rFonts w:hint="default"/>
      </w:rPr>
    </w:lvl>
    <w:lvl w:ilvl="1">
      <w:start w:val="1"/>
      <w:numFmt w:val="decimal"/>
      <w:lvlRestart w:val="0"/>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196093"/>
    <w:multiLevelType w:val="multilevel"/>
    <w:tmpl w:val="54303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002A39"/>
    <w:multiLevelType w:val="hybridMultilevel"/>
    <w:tmpl w:val="F768E54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74E334E"/>
    <w:multiLevelType w:val="multilevel"/>
    <w:tmpl w:val="CD60577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5580626E"/>
    <w:multiLevelType w:val="multilevel"/>
    <w:tmpl w:val="79CABD9A"/>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63734D3"/>
    <w:multiLevelType w:val="hybridMultilevel"/>
    <w:tmpl w:val="48EA89EE"/>
    <w:lvl w:ilvl="0" w:tplc="E3F49D0C">
      <w:start w:val="1"/>
      <w:numFmt w:val="upperLetter"/>
      <w:lvlText w:val="%1."/>
      <w:lvlJc w:val="left"/>
      <w:pPr>
        <w:ind w:left="8441" w:hanging="360"/>
      </w:pPr>
      <w:rPr>
        <w:color w:val="010101"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EF649F"/>
    <w:multiLevelType w:val="multilevel"/>
    <w:tmpl w:val="938276F2"/>
    <w:styleLink w:val="FigureTitles"/>
    <w:lvl w:ilvl="0">
      <w:start w:val="1"/>
      <w:numFmt w:val="decimal"/>
      <w:pStyle w:val="FigureHeadings"/>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F434703"/>
    <w:multiLevelType w:val="hybridMultilevel"/>
    <w:tmpl w:val="F768E546"/>
    <w:lvl w:ilvl="0" w:tplc="0C090019">
      <w:start w:val="1"/>
      <w:numFmt w:val="lowerLetter"/>
      <w:lvlText w:val="%1."/>
      <w:lvlJc w:val="left"/>
      <w:pPr>
        <w:ind w:left="1305" w:hanging="360"/>
      </w:p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24" w15:restartNumberingAfterBreak="0">
    <w:nsid w:val="61E27321"/>
    <w:multiLevelType w:val="hybridMultilevel"/>
    <w:tmpl w:val="ADF4E38A"/>
    <w:lvl w:ilvl="0" w:tplc="B1523586">
      <w:start w:val="1"/>
      <w:numFmt w:val="bullet"/>
      <w:pStyle w:val="Bullet3"/>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94E2D3A"/>
    <w:multiLevelType w:val="hybridMultilevel"/>
    <w:tmpl w:val="968633C8"/>
    <w:lvl w:ilvl="0" w:tplc="0C090001">
      <w:start w:val="1"/>
      <w:numFmt w:val="bullet"/>
      <w:lvlText w:val=""/>
      <w:lvlJc w:val="left"/>
      <w:pPr>
        <w:ind w:left="1610" w:hanging="360"/>
      </w:pPr>
      <w:rPr>
        <w:rFonts w:ascii="Symbol" w:hAnsi="Symbol" w:hint="default"/>
      </w:rPr>
    </w:lvl>
    <w:lvl w:ilvl="1" w:tplc="0C090003" w:tentative="1">
      <w:start w:val="1"/>
      <w:numFmt w:val="bullet"/>
      <w:lvlText w:val="o"/>
      <w:lvlJc w:val="left"/>
      <w:pPr>
        <w:ind w:left="2330" w:hanging="360"/>
      </w:pPr>
      <w:rPr>
        <w:rFonts w:ascii="Courier New" w:hAnsi="Courier New" w:cs="Courier New" w:hint="default"/>
      </w:rPr>
    </w:lvl>
    <w:lvl w:ilvl="2" w:tplc="0C090005" w:tentative="1">
      <w:start w:val="1"/>
      <w:numFmt w:val="bullet"/>
      <w:lvlText w:val=""/>
      <w:lvlJc w:val="left"/>
      <w:pPr>
        <w:ind w:left="3050" w:hanging="360"/>
      </w:pPr>
      <w:rPr>
        <w:rFonts w:ascii="Wingdings" w:hAnsi="Wingdings" w:hint="default"/>
      </w:rPr>
    </w:lvl>
    <w:lvl w:ilvl="3" w:tplc="0C090001" w:tentative="1">
      <w:start w:val="1"/>
      <w:numFmt w:val="bullet"/>
      <w:lvlText w:val=""/>
      <w:lvlJc w:val="left"/>
      <w:pPr>
        <w:ind w:left="3770" w:hanging="360"/>
      </w:pPr>
      <w:rPr>
        <w:rFonts w:ascii="Symbol" w:hAnsi="Symbol" w:hint="default"/>
      </w:rPr>
    </w:lvl>
    <w:lvl w:ilvl="4" w:tplc="0C090003" w:tentative="1">
      <w:start w:val="1"/>
      <w:numFmt w:val="bullet"/>
      <w:lvlText w:val="o"/>
      <w:lvlJc w:val="left"/>
      <w:pPr>
        <w:ind w:left="4490" w:hanging="360"/>
      </w:pPr>
      <w:rPr>
        <w:rFonts w:ascii="Courier New" w:hAnsi="Courier New" w:cs="Courier New" w:hint="default"/>
      </w:rPr>
    </w:lvl>
    <w:lvl w:ilvl="5" w:tplc="0C090005" w:tentative="1">
      <w:start w:val="1"/>
      <w:numFmt w:val="bullet"/>
      <w:lvlText w:val=""/>
      <w:lvlJc w:val="left"/>
      <w:pPr>
        <w:ind w:left="5210" w:hanging="360"/>
      </w:pPr>
      <w:rPr>
        <w:rFonts w:ascii="Wingdings" w:hAnsi="Wingdings" w:hint="default"/>
      </w:rPr>
    </w:lvl>
    <w:lvl w:ilvl="6" w:tplc="0C090001" w:tentative="1">
      <w:start w:val="1"/>
      <w:numFmt w:val="bullet"/>
      <w:lvlText w:val=""/>
      <w:lvlJc w:val="left"/>
      <w:pPr>
        <w:ind w:left="5930" w:hanging="360"/>
      </w:pPr>
      <w:rPr>
        <w:rFonts w:ascii="Symbol" w:hAnsi="Symbol" w:hint="default"/>
      </w:rPr>
    </w:lvl>
    <w:lvl w:ilvl="7" w:tplc="0C090003" w:tentative="1">
      <w:start w:val="1"/>
      <w:numFmt w:val="bullet"/>
      <w:lvlText w:val="o"/>
      <w:lvlJc w:val="left"/>
      <w:pPr>
        <w:ind w:left="6650" w:hanging="360"/>
      </w:pPr>
      <w:rPr>
        <w:rFonts w:ascii="Courier New" w:hAnsi="Courier New" w:cs="Courier New" w:hint="default"/>
      </w:rPr>
    </w:lvl>
    <w:lvl w:ilvl="8" w:tplc="0C090005" w:tentative="1">
      <w:start w:val="1"/>
      <w:numFmt w:val="bullet"/>
      <w:lvlText w:val=""/>
      <w:lvlJc w:val="left"/>
      <w:pPr>
        <w:ind w:left="7370" w:hanging="360"/>
      </w:pPr>
      <w:rPr>
        <w:rFonts w:ascii="Wingdings" w:hAnsi="Wingdings" w:hint="default"/>
      </w:rPr>
    </w:lvl>
  </w:abstractNum>
  <w:abstractNum w:abstractNumId="26" w15:restartNumberingAfterBreak="0">
    <w:nsid w:val="6C386FB7"/>
    <w:multiLevelType w:val="hybridMultilevel"/>
    <w:tmpl w:val="FD44B0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7B403A"/>
    <w:multiLevelType w:val="multilevel"/>
    <w:tmpl w:val="59348D2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EF32F80"/>
    <w:multiLevelType w:val="multilevel"/>
    <w:tmpl w:val="06203282"/>
    <w:lvl w:ilvl="0">
      <w:start w:val="1"/>
      <w:numFmt w:val="decimal"/>
      <w:lvlText w:val="%1."/>
      <w:lvlJc w:val="left"/>
      <w:pPr>
        <w:ind w:left="567" w:hanging="567"/>
      </w:pPr>
      <w:rPr>
        <w:rFonts w:hint="default"/>
        <w:b w:val="0"/>
        <w:bCs w:val="0"/>
        <w:color w:val="auto"/>
      </w:rPr>
    </w:lvl>
    <w:lvl w:ilvl="1">
      <w:start w:val="1"/>
      <w:numFmt w:val="decimal"/>
      <w:lvlText w:val="%1.%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15:restartNumberingAfterBreak="0">
    <w:nsid w:val="7AF43E63"/>
    <w:multiLevelType w:val="multilevel"/>
    <w:tmpl w:val="82A453FE"/>
    <w:lvl w:ilvl="0">
      <w:start w:val="1"/>
      <w:numFmt w:val="upperLetter"/>
      <w:lvlText w:val="%1."/>
      <w:lvlJc w:val="left"/>
      <w:pPr>
        <w:ind w:left="360" w:hanging="360"/>
      </w:pPr>
      <w:rPr>
        <w:rFonts w:hint="default"/>
      </w:rPr>
    </w:lvl>
    <w:lvl w:ilvl="1">
      <w:start w:val="1"/>
      <w:numFmt w:val="decimal"/>
      <w:lvlRestart w:val="0"/>
      <w:lvlText w:val="%2."/>
      <w:lvlJc w:val="left"/>
      <w:pPr>
        <w:ind w:left="720" w:hanging="360"/>
      </w:pPr>
      <w:rPr>
        <w:rFonts w:hint="default"/>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EDC191F"/>
    <w:multiLevelType w:val="multilevel"/>
    <w:tmpl w:val="60749C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373039872">
    <w:abstractNumId w:val="26"/>
  </w:num>
  <w:num w:numId="2" w16cid:durableId="189923727">
    <w:abstractNumId w:val="1"/>
  </w:num>
  <w:num w:numId="3" w16cid:durableId="2043241953">
    <w:abstractNumId w:val="15"/>
  </w:num>
  <w:num w:numId="4" w16cid:durableId="35012265">
    <w:abstractNumId w:val="2"/>
  </w:num>
  <w:num w:numId="5" w16cid:durableId="1940484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738422">
    <w:abstractNumId w:val="0"/>
  </w:num>
  <w:num w:numId="7" w16cid:durableId="1409305965">
    <w:abstractNumId w:val="4"/>
  </w:num>
  <w:num w:numId="8" w16cid:durableId="440612288">
    <w:abstractNumId w:val="24"/>
  </w:num>
  <w:num w:numId="9" w16cid:durableId="278338156">
    <w:abstractNumId w:val="14"/>
  </w:num>
  <w:num w:numId="10" w16cid:durableId="1510677274">
    <w:abstractNumId w:val="3"/>
  </w:num>
  <w:num w:numId="11" w16cid:durableId="1271157489">
    <w:abstractNumId w:val="11"/>
    <w:lvlOverride w:ilvl="0">
      <w:lvl w:ilvl="0">
        <w:start w:val="1"/>
        <w:numFmt w:val="decimal"/>
        <w:pStyle w:val="NumberedList1"/>
        <w:lvlText w:val="%1."/>
        <w:lvlJc w:val="left"/>
        <w:pPr>
          <w:ind w:left="426" w:hanging="284"/>
        </w:pPr>
        <w:rPr>
          <w:rFonts w:hint="default"/>
          <w:b w:val="0"/>
          <w:bCs/>
          <w:i w:val="0"/>
          <w:color w:val="404040" w:themeColor="text1" w:themeTint="BF"/>
        </w:rPr>
      </w:lvl>
    </w:lvlOverride>
  </w:num>
  <w:num w:numId="12" w16cid:durableId="1390613376">
    <w:abstractNumId w:val="6"/>
  </w:num>
  <w:num w:numId="13" w16cid:durableId="1388720292">
    <w:abstractNumId w:val="8"/>
  </w:num>
  <w:num w:numId="14" w16cid:durableId="1233584409">
    <w:abstractNumId w:val="23"/>
  </w:num>
  <w:num w:numId="15" w16cid:durableId="1019820998">
    <w:abstractNumId w:val="12"/>
  </w:num>
  <w:num w:numId="16" w16cid:durableId="1263756692">
    <w:abstractNumId w:val="13"/>
  </w:num>
  <w:num w:numId="17" w16cid:durableId="567308346">
    <w:abstractNumId w:val="18"/>
  </w:num>
  <w:num w:numId="18" w16cid:durableId="829172316">
    <w:abstractNumId w:val="10"/>
  </w:num>
  <w:num w:numId="19" w16cid:durableId="725497740">
    <w:abstractNumId w:val="29"/>
  </w:num>
  <w:num w:numId="20" w16cid:durableId="743916984">
    <w:abstractNumId w:val="25"/>
  </w:num>
  <w:num w:numId="21" w16cid:durableId="367679417">
    <w:abstractNumId w:val="16"/>
  </w:num>
  <w:num w:numId="22" w16cid:durableId="1139493479">
    <w:abstractNumId w:val="22"/>
  </w:num>
  <w:num w:numId="23" w16cid:durableId="1161778893">
    <w:abstractNumId w:val="28"/>
  </w:num>
  <w:num w:numId="24" w16cid:durableId="145459024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37581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8411424">
    <w:abstractNumId w:val="5"/>
  </w:num>
  <w:num w:numId="27" w16cid:durableId="443812450">
    <w:abstractNumId w:val="17"/>
  </w:num>
  <w:num w:numId="28" w16cid:durableId="21258049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5529805">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7152471">
    <w:abstractNumId w:val="7"/>
  </w:num>
  <w:num w:numId="31" w16cid:durableId="179466555">
    <w:abstractNumId w:val="9"/>
  </w:num>
  <w:num w:numId="32" w16cid:durableId="1364939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29393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70"/>
    <w:rsid w:val="0000478F"/>
    <w:rsid w:val="000052A7"/>
    <w:rsid w:val="00010BC2"/>
    <w:rsid w:val="00014062"/>
    <w:rsid w:val="00014909"/>
    <w:rsid w:val="00020229"/>
    <w:rsid w:val="000262BA"/>
    <w:rsid w:val="000350B1"/>
    <w:rsid w:val="0004213B"/>
    <w:rsid w:val="00047C15"/>
    <w:rsid w:val="00052253"/>
    <w:rsid w:val="00052620"/>
    <w:rsid w:val="0005266D"/>
    <w:rsid w:val="000567E8"/>
    <w:rsid w:val="000609AC"/>
    <w:rsid w:val="0006228D"/>
    <w:rsid w:val="000626EF"/>
    <w:rsid w:val="000667BF"/>
    <w:rsid w:val="00066DEC"/>
    <w:rsid w:val="000838B3"/>
    <w:rsid w:val="00090803"/>
    <w:rsid w:val="00090D40"/>
    <w:rsid w:val="000939C1"/>
    <w:rsid w:val="00094836"/>
    <w:rsid w:val="00096814"/>
    <w:rsid w:val="000A4A62"/>
    <w:rsid w:val="000B1B4B"/>
    <w:rsid w:val="000B25A5"/>
    <w:rsid w:val="000B2D09"/>
    <w:rsid w:val="000B4408"/>
    <w:rsid w:val="000C1303"/>
    <w:rsid w:val="000C3B80"/>
    <w:rsid w:val="000C6B45"/>
    <w:rsid w:val="000D1B49"/>
    <w:rsid w:val="000D22B5"/>
    <w:rsid w:val="000D33AF"/>
    <w:rsid w:val="000D447C"/>
    <w:rsid w:val="000E3CC7"/>
    <w:rsid w:val="000F02F1"/>
    <w:rsid w:val="000F1C8F"/>
    <w:rsid w:val="000F2DDA"/>
    <w:rsid w:val="000F30F7"/>
    <w:rsid w:val="000F6CE9"/>
    <w:rsid w:val="001019E6"/>
    <w:rsid w:val="001208B9"/>
    <w:rsid w:val="001210B4"/>
    <w:rsid w:val="00121143"/>
    <w:rsid w:val="0012156E"/>
    <w:rsid w:val="00123570"/>
    <w:rsid w:val="0012729B"/>
    <w:rsid w:val="001315FD"/>
    <w:rsid w:val="00135859"/>
    <w:rsid w:val="00143CFA"/>
    <w:rsid w:val="001518B3"/>
    <w:rsid w:val="00154AA1"/>
    <w:rsid w:val="0015572C"/>
    <w:rsid w:val="001574A4"/>
    <w:rsid w:val="00157784"/>
    <w:rsid w:val="00163B4F"/>
    <w:rsid w:val="0016473C"/>
    <w:rsid w:val="001675E3"/>
    <w:rsid w:val="001747B6"/>
    <w:rsid w:val="00176EFA"/>
    <w:rsid w:val="00182A0E"/>
    <w:rsid w:val="001960E9"/>
    <w:rsid w:val="00196CB1"/>
    <w:rsid w:val="001A1E36"/>
    <w:rsid w:val="001A2CF4"/>
    <w:rsid w:val="001A3C99"/>
    <w:rsid w:val="001B0615"/>
    <w:rsid w:val="001B0E38"/>
    <w:rsid w:val="001B11C8"/>
    <w:rsid w:val="001B148A"/>
    <w:rsid w:val="001C0844"/>
    <w:rsid w:val="001C0C18"/>
    <w:rsid w:val="001C307D"/>
    <w:rsid w:val="001C710C"/>
    <w:rsid w:val="001D0BCA"/>
    <w:rsid w:val="001D4C2D"/>
    <w:rsid w:val="001D6424"/>
    <w:rsid w:val="001E1E34"/>
    <w:rsid w:val="001F081B"/>
    <w:rsid w:val="001F26AA"/>
    <w:rsid w:val="002123CF"/>
    <w:rsid w:val="002220EF"/>
    <w:rsid w:val="002268D1"/>
    <w:rsid w:val="00230A77"/>
    <w:rsid w:val="00230D00"/>
    <w:rsid w:val="00237FC4"/>
    <w:rsid w:val="002433FD"/>
    <w:rsid w:val="00244362"/>
    <w:rsid w:val="0024453A"/>
    <w:rsid w:val="00250EF1"/>
    <w:rsid w:val="002515D8"/>
    <w:rsid w:val="00252849"/>
    <w:rsid w:val="002542F5"/>
    <w:rsid w:val="002574D4"/>
    <w:rsid w:val="0026734B"/>
    <w:rsid w:val="00270239"/>
    <w:rsid w:val="00270D04"/>
    <w:rsid w:val="00270E1E"/>
    <w:rsid w:val="00272EA2"/>
    <w:rsid w:val="002742FD"/>
    <w:rsid w:val="00274C79"/>
    <w:rsid w:val="00283116"/>
    <w:rsid w:val="00284436"/>
    <w:rsid w:val="0028573C"/>
    <w:rsid w:val="00287F2C"/>
    <w:rsid w:val="0029549E"/>
    <w:rsid w:val="002959F9"/>
    <w:rsid w:val="0029603E"/>
    <w:rsid w:val="002967A7"/>
    <w:rsid w:val="002A0121"/>
    <w:rsid w:val="002A5C6F"/>
    <w:rsid w:val="002A6226"/>
    <w:rsid w:val="002B367A"/>
    <w:rsid w:val="002B52C6"/>
    <w:rsid w:val="002B62F1"/>
    <w:rsid w:val="002B75B7"/>
    <w:rsid w:val="002C7AF2"/>
    <w:rsid w:val="002D0775"/>
    <w:rsid w:val="002D3346"/>
    <w:rsid w:val="002E0663"/>
    <w:rsid w:val="002E3DDA"/>
    <w:rsid w:val="002E5579"/>
    <w:rsid w:val="002F0929"/>
    <w:rsid w:val="002F0A11"/>
    <w:rsid w:val="002F14CB"/>
    <w:rsid w:val="002F2D95"/>
    <w:rsid w:val="002F6D70"/>
    <w:rsid w:val="0030413C"/>
    <w:rsid w:val="003052B2"/>
    <w:rsid w:val="003103D3"/>
    <w:rsid w:val="003103F5"/>
    <w:rsid w:val="00311C82"/>
    <w:rsid w:val="00332950"/>
    <w:rsid w:val="00334E71"/>
    <w:rsid w:val="003370AE"/>
    <w:rsid w:val="003379B0"/>
    <w:rsid w:val="003442E3"/>
    <w:rsid w:val="003478AC"/>
    <w:rsid w:val="003502D7"/>
    <w:rsid w:val="00350F6E"/>
    <w:rsid w:val="003551E8"/>
    <w:rsid w:val="00357264"/>
    <w:rsid w:val="00360EAD"/>
    <w:rsid w:val="003640D6"/>
    <w:rsid w:val="003676C8"/>
    <w:rsid w:val="003740AD"/>
    <w:rsid w:val="00375A51"/>
    <w:rsid w:val="00375A91"/>
    <w:rsid w:val="00376B47"/>
    <w:rsid w:val="0038097A"/>
    <w:rsid w:val="00381B4D"/>
    <w:rsid w:val="00392752"/>
    <w:rsid w:val="003948D9"/>
    <w:rsid w:val="00394EB2"/>
    <w:rsid w:val="00394EE6"/>
    <w:rsid w:val="003958AE"/>
    <w:rsid w:val="00395A70"/>
    <w:rsid w:val="003974DF"/>
    <w:rsid w:val="003A2AC1"/>
    <w:rsid w:val="003A51D0"/>
    <w:rsid w:val="003A562E"/>
    <w:rsid w:val="003A5E51"/>
    <w:rsid w:val="003A68D7"/>
    <w:rsid w:val="003B7DEC"/>
    <w:rsid w:val="003D0BB4"/>
    <w:rsid w:val="003D518B"/>
    <w:rsid w:val="003D6C15"/>
    <w:rsid w:val="003E26F9"/>
    <w:rsid w:val="003E3C2D"/>
    <w:rsid w:val="003E3D5D"/>
    <w:rsid w:val="003E74FB"/>
    <w:rsid w:val="003E7F6B"/>
    <w:rsid w:val="003F0BC6"/>
    <w:rsid w:val="003F1FFA"/>
    <w:rsid w:val="003F485A"/>
    <w:rsid w:val="0041189E"/>
    <w:rsid w:val="00415498"/>
    <w:rsid w:val="00417B7A"/>
    <w:rsid w:val="00421348"/>
    <w:rsid w:val="00425616"/>
    <w:rsid w:val="0043154F"/>
    <w:rsid w:val="00436DCD"/>
    <w:rsid w:val="004372AD"/>
    <w:rsid w:val="00445265"/>
    <w:rsid w:val="00450EB3"/>
    <w:rsid w:val="004530B9"/>
    <w:rsid w:val="0045320A"/>
    <w:rsid w:val="004574FA"/>
    <w:rsid w:val="00460E90"/>
    <w:rsid w:val="00471570"/>
    <w:rsid w:val="004915B5"/>
    <w:rsid w:val="00491AFD"/>
    <w:rsid w:val="00493AFF"/>
    <w:rsid w:val="00497A59"/>
    <w:rsid w:val="00497D75"/>
    <w:rsid w:val="00497FEA"/>
    <w:rsid w:val="004A0023"/>
    <w:rsid w:val="004A4CBA"/>
    <w:rsid w:val="004A6569"/>
    <w:rsid w:val="004A6B59"/>
    <w:rsid w:val="004A6BCA"/>
    <w:rsid w:val="004B7787"/>
    <w:rsid w:val="004C6B42"/>
    <w:rsid w:val="004D5E13"/>
    <w:rsid w:val="004E026B"/>
    <w:rsid w:val="004E5052"/>
    <w:rsid w:val="004E7AFD"/>
    <w:rsid w:val="004F411C"/>
    <w:rsid w:val="005075B9"/>
    <w:rsid w:val="00507EAA"/>
    <w:rsid w:val="00517291"/>
    <w:rsid w:val="005221D8"/>
    <w:rsid w:val="00523044"/>
    <w:rsid w:val="005249C0"/>
    <w:rsid w:val="00527BBB"/>
    <w:rsid w:val="00532820"/>
    <w:rsid w:val="005337E8"/>
    <w:rsid w:val="005507D8"/>
    <w:rsid w:val="005629AD"/>
    <w:rsid w:val="0057720C"/>
    <w:rsid w:val="005816F7"/>
    <w:rsid w:val="0059020E"/>
    <w:rsid w:val="0059479B"/>
    <w:rsid w:val="005B23BE"/>
    <w:rsid w:val="005B580D"/>
    <w:rsid w:val="005C148E"/>
    <w:rsid w:val="005C2A5F"/>
    <w:rsid w:val="005C6843"/>
    <w:rsid w:val="005D10BE"/>
    <w:rsid w:val="005D569D"/>
    <w:rsid w:val="005D66A9"/>
    <w:rsid w:val="005D79EF"/>
    <w:rsid w:val="005E6262"/>
    <w:rsid w:val="005E67B6"/>
    <w:rsid w:val="005F2E21"/>
    <w:rsid w:val="005F44BF"/>
    <w:rsid w:val="005F7FA9"/>
    <w:rsid w:val="00600EF1"/>
    <w:rsid w:val="00604D94"/>
    <w:rsid w:val="006161B8"/>
    <w:rsid w:val="00623AC7"/>
    <w:rsid w:val="00624240"/>
    <w:rsid w:val="00625A12"/>
    <w:rsid w:val="0062782B"/>
    <w:rsid w:val="00635918"/>
    <w:rsid w:val="00636BC5"/>
    <w:rsid w:val="00640CB3"/>
    <w:rsid w:val="006412C0"/>
    <w:rsid w:val="00644222"/>
    <w:rsid w:val="006458B0"/>
    <w:rsid w:val="0064612C"/>
    <w:rsid w:val="00657195"/>
    <w:rsid w:val="00657953"/>
    <w:rsid w:val="00657CC4"/>
    <w:rsid w:val="006623B7"/>
    <w:rsid w:val="00670079"/>
    <w:rsid w:val="00673E0D"/>
    <w:rsid w:val="006773F0"/>
    <w:rsid w:val="006821EF"/>
    <w:rsid w:val="00685BFE"/>
    <w:rsid w:val="006921B9"/>
    <w:rsid w:val="00692663"/>
    <w:rsid w:val="0069376A"/>
    <w:rsid w:val="00694E42"/>
    <w:rsid w:val="006A0089"/>
    <w:rsid w:val="006B1A1A"/>
    <w:rsid w:val="006C21E2"/>
    <w:rsid w:val="006C26A7"/>
    <w:rsid w:val="006C2CF0"/>
    <w:rsid w:val="006C7631"/>
    <w:rsid w:val="006D3DD8"/>
    <w:rsid w:val="006D6CDE"/>
    <w:rsid w:val="006E0B02"/>
    <w:rsid w:val="006E1BD5"/>
    <w:rsid w:val="006F4768"/>
    <w:rsid w:val="006F5AF4"/>
    <w:rsid w:val="00707B6B"/>
    <w:rsid w:val="00716C29"/>
    <w:rsid w:val="00717EB4"/>
    <w:rsid w:val="00723683"/>
    <w:rsid w:val="00724A83"/>
    <w:rsid w:val="0072782B"/>
    <w:rsid w:val="00733730"/>
    <w:rsid w:val="00744918"/>
    <w:rsid w:val="0075191B"/>
    <w:rsid w:val="00752B58"/>
    <w:rsid w:val="00752D86"/>
    <w:rsid w:val="00754307"/>
    <w:rsid w:val="00765D86"/>
    <w:rsid w:val="0077577F"/>
    <w:rsid w:val="007757A8"/>
    <w:rsid w:val="007773F6"/>
    <w:rsid w:val="00780090"/>
    <w:rsid w:val="00780FE0"/>
    <w:rsid w:val="00786C08"/>
    <w:rsid w:val="00792C86"/>
    <w:rsid w:val="0079344D"/>
    <w:rsid w:val="007A05DD"/>
    <w:rsid w:val="007A3195"/>
    <w:rsid w:val="007A44B9"/>
    <w:rsid w:val="007A76AB"/>
    <w:rsid w:val="007B094C"/>
    <w:rsid w:val="007C0EC9"/>
    <w:rsid w:val="007C301D"/>
    <w:rsid w:val="007C4C4A"/>
    <w:rsid w:val="007C564B"/>
    <w:rsid w:val="007C5D9E"/>
    <w:rsid w:val="007D2CEF"/>
    <w:rsid w:val="007D4F72"/>
    <w:rsid w:val="007D63E4"/>
    <w:rsid w:val="007D76DD"/>
    <w:rsid w:val="007E02AC"/>
    <w:rsid w:val="007E26C2"/>
    <w:rsid w:val="007F2240"/>
    <w:rsid w:val="007F406E"/>
    <w:rsid w:val="007F46F6"/>
    <w:rsid w:val="007F792B"/>
    <w:rsid w:val="00802B25"/>
    <w:rsid w:val="00803960"/>
    <w:rsid w:val="008059B3"/>
    <w:rsid w:val="00812B99"/>
    <w:rsid w:val="00814F30"/>
    <w:rsid w:val="0081663D"/>
    <w:rsid w:val="00821934"/>
    <w:rsid w:val="0082265B"/>
    <w:rsid w:val="00822CDC"/>
    <w:rsid w:val="00826DD9"/>
    <w:rsid w:val="008271E8"/>
    <w:rsid w:val="00827A4D"/>
    <w:rsid w:val="00827AEC"/>
    <w:rsid w:val="00833B28"/>
    <w:rsid w:val="00835E44"/>
    <w:rsid w:val="008369F6"/>
    <w:rsid w:val="008375E3"/>
    <w:rsid w:val="00837B13"/>
    <w:rsid w:val="00844CB4"/>
    <w:rsid w:val="008450D6"/>
    <w:rsid w:val="008472B1"/>
    <w:rsid w:val="00855B81"/>
    <w:rsid w:val="008579AC"/>
    <w:rsid w:val="00857AE7"/>
    <w:rsid w:val="00864D2F"/>
    <w:rsid w:val="00865316"/>
    <w:rsid w:val="0087046C"/>
    <w:rsid w:val="008737BF"/>
    <w:rsid w:val="008803D9"/>
    <w:rsid w:val="00886FBD"/>
    <w:rsid w:val="008A522E"/>
    <w:rsid w:val="008B23B2"/>
    <w:rsid w:val="008B41CB"/>
    <w:rsid w:val="008B6D90"/>
    <w:rsid w:val="008C1DFE"/>
    <w:rsid w:val="008C4A17"/>
    <w:rsid w:val="008C6FA9"/>
    <w:rsid w:val="008C70C9"/>
    <w:rsid w:val="008E050C"/>
    <w:rsid w:val="008E3165"/>
    <w:rsid w:val="008E5878"/>
    <w:rsid w:val="008E5E7C"/>
    <w:rsid w:val="008F0C59"/>
    <w:rsid w:val="008F408B"/>
    <w:rsid w:val="008F4187"/>
    <w:rsid w:val="008F57C1"/>
    <w:rsid w:val="00900615"/>
    <w:rsid w:val="00900F7A"/>
    <w:rsid w:val="009204BF"/>
    <w:rsid w:val="0092404E"/>
    <w:rsid w:val="00930895"/>
    <w:rsid w:val="00937F35"/>
    <w:rsid w:val="00937F6F"/>
    <w:rsid w:val="00940C52"/>
    <w:rsid w:val="00941B22"/>
    <w:rsid w:val="00942EF9"/>
    <w:rsid w:val="009442FB"/>
    <w:rsid w:val="00945FE1"/>
    <w:rsid w:val="00946038"/>
    <w:rsid w:val="00952C39"/>
    <w:rsid w:val="00954070"/>
    <w:rsid w:val="00956DC1"/>
    <w:rsid w:val="009603D7"/>
    <w:rsid w:val="00961683"/>
    <w:rsid w:val="0096188C"/>
    <w:rsid w:val="00971189"/>
    <w:rsid w:val="009747CB"/>
    <w:rsid w:val="009749CF"/>
    <w:rsid w:val="00976F7D"/>
    <w:rsid w:val="009772BE"/>
    <w:rsid w:val="009821AF"/>
    <w:rsid w:val="0098436D"/>
    <w:rsid w:val="009853CC"/>
    <w:rsid w:val="0099042C"/>
    <w:rsid w:val="00992091"/>
    <w:rsid w:val="00992C87"/>
    <w:rsid w:val="009935EA"/>
    <w:rsid w:val="00993E33"/>
    <w:rsid w:val="00997794"/>
    <w:rsid w:val="00997F71"/>
    <w:rsid w:val="009A2A67"/>
    <w:rsid w:val="009B2037"/>
    <w:rsid w:val="009B394A"/>
    <w:rsid w:val="009B3EBA"/>
    <w:rsid w:val="009B4E69"/>
    <w:rsid w:val="009B5B74"/>
    <w:rsid w:val="009C1AD0"/>
    <w:rsid w:val="009C2101"/>
    <w:rsid w:val="009C44EC"/>
    <w:rsid w:val="009D56BD"/>
    <w:rsid w:val="009E002C"/>
    <w:rsid w:val="009E0B73"/>
    <w:rsid w:val="009E64C6"/>
    <w:rsid w:val="009F1128"/>
    <w:rsid w:val="009F1479"/>
    <w:rsid w:val="009F21EB"/>
    <w:rsid w:val="009F4632"/>
    <w:rsid w:val="00A00E44"/>
    <w:rsid w:val="00A010B2"/>
    <w:rsid w:val="00A0280B"/>
    <w:rsid w:val="00A06926"/>
    <w:rsid w:val="00A073EB"/>
    <w:rsid w:val="00A07BE0"/>
    <w:rsid w:val="00A173FC"/>
    <w:rsid w:val="00A2538A"/>
    <w:rsid w:val="00A27144"/>
    <w:rsid w:val="00A27415"/>
    <w:rsid w:val="00A323FB"/>
    <w:rsid w:val="00A34F99"/>
    <w:rsid w:val="00A364DE"/>
    <w:rsid w:val="00A4186D"/>
    <w:rsid w:val="00A4504E"/>
    <w:rsid w:val="00A46B77"/>
    <w:rsid w:val="00A523AB"/>
    <w:rsid w:val="00A53C23"/>
    <w:rsid w:val="00A61B46"/>
    <w:rsid w:val="00A639DE"/>
    <w:rsid w:val="00A65D3E"/>
    <w:rsid w:val="00A66D10"/>
    <w:rsid w:val="00A66D6F"/>
    <w:rsid w:val="00A670EA"/>
    <w:rsid w:val="00A77758"/>
    <w:rsid w:val="00A82101"/>
    <w:rsid w:val="00A83E38"/>
    <w:rsid w:val="00A929F8"/>
    <w:rsid w:val="00A931FF"/>
    <w:rsid w:val="00A932A2"/>
    <w:rsid w:val="00AA321E"/>
    <w:rsid w:val="00AA40A8"/>
    <w:rsid w:val="00AB071E"/>
    <w:rsid w:val="00AB299B"/>
    <w:rsid w:val="00AC08F4"/>
    <w:rsid w:val="00AC265D"/>
    <w:rsid w:val="00AC69C2"/>
    <w:rsid w:val="00AD00BD"/>
    <w:rsid w:val="00AD2D2C"/>
    <w:rsid w:val="00AD2EA1"/>
    <w:rsid w:val="00AD4B3F"/>
    <w:rsid w:val="00AD709E"/>
    <w:rsid w:val="00AD7D7C"/>
    <w:rsid w:val="00AE6BEC"/>
    <w:rsid w:val="00AE7A30"/>
    <w:rsid w:val="00AF0871"/>
    <w:rsid w:val="00AF0CF8"/>
    <w:rsid w:val="00AF0F10"/>
    <w:rsid w:val="00AF1DC6"/>
    <w:rsid w:val="00AF2DB0"/>
    <w:rsid w:val="00B024DC"/>
    <w:rsid w:val="00B0764D"/>
    <w:rsid w:val="00B07979"/>
    <w:rsid w:val="00B133CB"/>
    <w:rsid w:val="00B13F86"/>
    <w:rsid w:val="00B162C8"/>
    <w:rsid w:val="00B172D9"/>
    <w:rsid w:val="00B20960"/>
    <w:rsid w:val="00B21D77"/>
    <w:rsid w:val="00B2332B"/>
    <w:rsid w:val="00B25CF9"/>
    <w:rsid w:val="00B25E53"/>
    <w:rsid w:val="00B3286C"/>
    <w:rsid w:val="00B4229C"/>
    <w:rsid w:val="00B42DE2"/>
    <w:rsid w:val="00B533AB"/>
    <w:rsid w:val="00B5429A"/>
    <w:rsid w:val="00B55042"/>
    <w:rsid w:val="00B56B82"/>
    <w:rsid w:val="00B570CA"/>
    <w:rsid w:val="00B6059B"/>
    <w:rsid w:val="00B7274E"/>
    <w:rsid w:val="00B844DD"/>
    <w:rsid w:val="00B91B51"/>
    <w:rsid w:val="00B93489"/>
    <w:rsid w:val="00BA6967"/>
    <w:rsid w:val="00BA76BD"/>
    <w:rsid w:val="00BB05F2"/>
    <w:rsid w:val="00BB262A"/>
    <w:rsid w:val="00BB3B64"/>
    <w:rsid w:val="00BC3DBE"/>
    <w:rsid w:val="00BC46EE"/>
    <w:rsid w:val="00BC534D"/>
    <w:rsid w:val="00BC7F84"/>
    <w:rsid w:val="00BD57FA"/>
    <w:rsid w:val="00BD7A59"/>
    <w:rsid w:val="00BE460A"/>
    <w:rsid w:val="00BE46F5"/>
    <w:rsid w:val="00BE5735"/>
    <w:rsid w:val="00C0376B"/>
    <w:rsid w:val="00C0786A"/>
    <w:rsid w:val="00C17107"/>
    <w:rsid w:val="00C20D67"/>
    <w:rsid w:val="00C21A42"/>
    <w:rsid w:val="00C23329"/>
    <w:rsid w:val="00C27497"/>
    <w:rsid w:val="00C3092A"/>
    <w:rsid w:val="00C30E3C"/>
    <w:rsid w:val="00C40A68"/>
    <w:rsid w:val="00C43BA4"/>
    <w:rsid w:val="00C47CC1"/>
    <w:rsid w:val="00C550E7"/>
    <w:rsid w:val="00C57A28"/>
    <w:rsid w:val="00C61B46"/>
    <w:rsid w:val="00C631F9"/>
    <w:rsid w:val="00C65654"/>
    <w:rsid w:val="00C71621"/>
    <w:rsid w:val="00C71ABC"/>
    <w:rsid w:val="00C73034"/>
    <w:rsid w:val="00C76164"/>
    <w:rsid w:val="00C81617"/>
    <w:rsid w:val="00C82941"/>
    <w:rsid w:val="00C8433F"/>
    <w:rsid w:val="00C84F88"/>
    <w:rsid w:val="00C916C4"/>
    <w:rsid w:val="00C92684"/>
    <w:rsid w:val="00C931EE"/>
    <w:rsid w:val="00C9515A"/>
    <w:rsid w:val="00CA2E32"/>
    <w:rsid w:val="00CA3099"/>
    <w:rsid w:val="00CA5073"/>
    <w:rsid w:val="00CA6F99"/>
    <w:rsid w:val="00CC06D6"/>
    <w:rsid w:val="00CC12C9"/>
    <w:rsid w:val="00CC2D89"/>
    <w:rsid w:val="00CC5C68"/>
    <w:rsid w:val="00CD04DB"/>
    <w:rsid w:val="00CD2090"/>
    <w:rsid w:val="00CD218C"/>
    <w:rsid w:val="00CD4302"/>
    <w:rsid w:val="00CD5BCB"/>
    <w:rsid w:val="00CD7059"/>
    <w:rsid w:val="00CD7530"/>
    <w:rsid w:val="00CE0670"/>
    <w:rsid w:val="00CE76A2"/>
    <w:rsid w:val="00CF238F"/>
    <w:rsid w:val="00CF2BF2"/>
    <w:rsid w:val="00CF2EFF"/>
    <w:rsid w:val="00CF2FE2"/>
    <w:rsid w:val="00CF4636"/>
    <w:rsid w:val="00CF5D15"/>
    <w:rsid w:val="00D00CCB"/>
    <w:rsid w:val="00D011A0"/>
    <w:rsid w:val="00D01A88"/>
    <w:rsid w:val="00D01F13"/>
    <w:rsid w:val="00D020FD"/>
    <w:rsid w:val="00D10A57"/>
    <w:rsid w:val="00D1234A"/>
    <w:rsid w:val="00D14E6B"/>
    <w:rsid w:val="00D20C72"/>
    <w:rsid w:val="00D2198F"/>
    <w:rsid w:val="00D2243B"/>
    <w:rsid w:val="00D2245D"/>
    <w:rsid w:val="00D26335"/>
    <w:rsid w:val="00D3436E"/>
    <w:rsid w:val="00D3457B"/>
    <w:rsid w:val="00D34C0F"/>
    <w:rsid w:val="00D37C23"/>
    <w:rsid w:val="00D47476"/>
    <w:rsid w:val="00D47672"/>
    <w:rsid w:val="00D53306"/>
    <w:rsid w:val="00D56032"/>
    <w:rsid w:val="00D63070"/>
    <w:rsid w:val="00D652A7"/>
    <w:rsid w:val="00D655B7"/>
    <w:rsid w:val="00D67E5E"/>
    <w:rsid w:val="00D72454"/>
    <w:rsid w:val="00D75EEF"/>
    <w:rsid w:val="00D76756"/>
    <w:rsid w:val="00D8096C"/>
    <w:rsid w:val="00D8211D"/>
    <w:rsid w:val="00D82D25"/>
    <w:rsid w:val="00D83A3A"/>
    <w:rsid w:val="00D84C05"/>
    <w:rsid w:val="00D92F9A"/>
    <w:rsid w:val="00D97F5F"/>
    <w:rsid w:val="00DA5A52"/>
    <w:rsid w:val="00DA63C6"/>
    <w:rsid w:val="00DB4B08"/>
    <w:rsid w:val="00DB4B66"/>
    <w:rsid w:val="00DB7BE2"/>
    <w:rsid w:val="00DC0874"/>
    <w:rsid w:val="00DC18E4"/>
    <w:rsid w:val="00DD0EA9"/>
    <w:rsid w:val="00DD285D"/>
    <w:rsid w:val="00DD4A3B"/>
    <w:rsid w:val="00DD76B3"/>
    <w:rsid w:val="00DE0C27"/>
    <w:rsid w:val="00DE2764"/>
    <w:rsid w:val="00DE30CE"/>
    <w:rsid w:val="00DE3432"/>
    <w:rsid w:val="00DF11DB"/>
    <w:rsid w:val="00DF1233"/>
    <w:rsid w:val="00DF51C7"/>
    <w:rsid w:val="00DF7079"/>
    <w:rsid w:val="00E0043F"/>
    <w:rsid w:val="00E04D10"/>
    <w:rsid w:val="00E05B09"/>
    <w:rsid w:val="00E12C4E"/>
    <w:rsid w:val="00E130A7"/>
    <w:rsid w:val="00E13CA9"/>
    <w:rsid w:val="00E15D15"/>
    <w:rsid w:val="00E22644"/>
    <w:rsid w:val="00E30CEA"/>
    <w:rsid w:val="00E325A5"/>
    <w:rsid w:val="00E3321D"/>
    <w:rsid w:val="00E34292"/>
    <w:rsid w:val="00E34457"/>
    <w:rsid w:val="00E36158"/>
    <w:rsid w:val="00E428FD"/>
    <w:rsid w:val="00E576B7"/>
    <w:rsid w:val="00E60EBF"/>
    <w:rsid w:val="00E71E39"/>
    <w:rsid w:val="00E72D39"/>
    <w:rsid w:val="00E7351A"/>
    <w:rsid w:val="00E73B02"/>
    <w:rsid w:val="00E80091"/>
    <w:rsid w:val="00E85C7E"/>
    <w:rsid w:val="00E85E1C"/>
    <w:rsid w:val="00E86A4E"/>
    <w:rsid w:val="00E90CBA"/>
    <w:rsid w:val="00E92556"/>
    <w:rsid w:val="00E93107"/>
    <w:rsid w:val="00E94C5C"/>
    <w:rsid w:val="00EA0B1C"/>
    <w:rsid w:val="00EA1E9D"/>
    <w:rsid w:val="00EA2977"/>
    <w:rsid w:val="00EA4A1B"/>
    <w:rsid w:val="00EB0616"/>
    <w:rsid w:val="00EB2523"/>
    <w:rsid w:val="00EC25E5"/>
    <w:rsid w:val="00EC5E4A"/>
    <w:rsid w:val="00EC5FE0"/>
    <w:rsid w:val="00EC716E"/>
    <w:rsid w:val="00ED023F"/>
    <w:rsid w:val="00ED62AB"/>
    <w:rsid w:val="00ED6D18"/>
    <w:rsid w:val="00EE0943"/>
    <w:rsid w:val="00EE308D"/>
    <w:rsid w:val="00EF1D15"/>
    <w:rsid w:val="00F0032F"/>
    <w:rsid w:val="00F01861"/>
    <w:rsid w:val="00F04439"/>
    <w:rsid w:val="00F064C1"/>
    <w:rsid w:val="00F067EE"/>
    <w:rsid w:val="00F1765A"/>
    <w:rsid w:val="00F312A3"/>
    <w:rsid w:val="00F35804"/>
    <w:rsid w:val="00F37A02"/>
    <w:rsid w:val="00F42A1F"/>
    <w:rsid w:val="00F45643"/>
    <w:rsid w:val="00F529C2"/>
    <w:rsid w:val="00F57C8F"/>
    <w:rsid w:val="00F64CAF"/>
    <w:rsid w:val="00F71886"/>
    <w:rsid w:val="00F71AA3"/>
    <w:rsid w:val="00F73CAC"/>
    <w:rsid w:val="00F83245"/>
    <w:rsid w:val="00F87E5D"/>
    <w:rsid w:val="00F9235C"/>
    <w:rsid w:val="00F92367"/>
    <w:rsid w:val="00F95201"/>
    <w:rsid w:val="00FA10CE"/>
    <w:rsid w:val="00FB5013"/>
    <w:rsid w:val="00FC13B4"/>
    <w:rsid w:val="00FC1993"/>
    <w:rsid w:val="00FC4D0E"/>
    <w:rsid w:val="00FD064F"/>
    <w:rsid w:val="00FD07A5"/>
    <w:rsid w:val="00FD7B44"/>
    <w:rsid w:val="00FE10F5"/>
    <w:rsid w:val="00FE269A"/>
    <w:rsid w:val="00FE4C84"/>
    <w:rsid w:val="00FF3026"/>
    <w:rsid w:val="00FF360F"/>
    <w:rsid w:val="00FF6BFF"/>
    <w:rsid w:val="477285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E189"/>
  <w15:chartTrackingRefBased/>
  <w15:docId w15:val="{0DC2C77A-ACEB-4C55-B718-BFB90327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AF2DB0"/>
    <w:pPr>
      <w:spacing w:before="200" w:after="0"/>
      <w:jc w:val="both"/>
    </w:pPr>
  </w:style>
  <w:style w:type="paragraph" w:styleId="Heading1">
    <w:name w:val="heading 1"/>
    <w:basedOn w:val="Normal"/>
    <w:next w:val="Para1123"/>
    <w:link w:val="Heading1Char"/>
    <w:uiPriority w:val="9"/>
    <w:qFormat/>
    <w:rsid w:val="001747B6"/>
    <w:pPr>
      <w:keepNext/>
      <w:keepLines/>
      <w:numPr>
        <w:numId w:val="30"/>
      </w:numPr>
      <w:pBdr>
        <w:bottom w:val="single" w:sz="4" w:space="1" w:color="auto"/>
      </w:pBdr>
      <w:suppressAutoHyphens/>
      <w:spacing w:before="240" w:after="100" w:line="260" w:lineRule="atLeast"/>
      <w:ind w:left="680" w:hanging="680"/>
      <w:jc w:val="left"/>
      <w:outlineLvl w:val="0"/>
    </w:pPr>
    <w:rPr>
      <w:rFonts w:ascii="Calibri Bold" w:eastAsia="Meiryo" w:hAnsi="Calibri Bold" w:cs="Arial"/>
      <w:b/>
      <w:bCs/>
      <w:caps/>
      <w:color w:val="010101" w:themeColor="text1"/>
      <w:szCs w:val="26"/>
    </w:rPr>
  </w:style>
  <w:style w:type="paragraph" w:styleId="Heading2">
    <w:name w:val="heading 2"/>
    <w:basedOn w:val="Heading3"/>
    <w:next w:val="Para1123"/>
    <w:link w:val="Heading2Char"/>
    <w:uiPriority w:val="9"/>
    <w:unhideWhenUsed/>
    <w:qFormat/>
    <w:rsid w:val="00376B47"/>
    <w:pPr>
      <w:outlineLvl w:val="1"/>
    </w:pPr>
    <w:rPr>
      <w:b/>
      <w:bCs/>
      <w:u w:val="none"/>
      <w:lang w:eastAsia="en-AU"/>
    </w:rPr>
  </w:style>
  <w:style w:type="paragraph" w:styleId="Heading3">
    <w:name w:val="heading 3"/>
    <w:basedOn w:val="Normal"/>
    <w:next w:val="Normal"/>
    <w:link w:val="Heading3Char"/>
    <w:uiPriority w:val="9"/>
    <w:unhideWhenUsed/>
    <w:qFormat/>
    <w:rsid w:val="00937F6F"/>
    <w:pPr>
      <w:keepNext/>
      <w:keepLines/>
      <w:spacing w:before="240"/>
      <w:outlineLvl w:val="2"/>
    </w:pPr>
    <w:rPr>
      <w:rFonts w:eastAsiaTheme="majorEastAsia" w:cstheme="majorBidi"/>
      <w:szCs w:val="24"/>
      <w:u w:val="single"/>
    </w:rPr>
  </w:style>
  <w:style w:type="paragraph" w:styleId="Heading4">
    <w:name w:val="heading 4"/>
    <w:basedOn w:val="Normal"/>
    <w:next w:val="Normal"/>
    <w:link w:val="Heading4Char"/>
    <w:uiPriority w:val="9"/>
    <w:unhideWhenUsed/>
    <w:qFormat/>
    <w:rsid w:val="002B75B7"/>
    <w:pPr>
      <w:keepNext/>
      <w:keepLines/>
      <w:spacing w:before="240"/>
      <w:outlineLvl w:val="3"/>
    </w:pPr>
    <w:rPr>
      <w:rFonts w:ascii="Calibri" w:eastAsiaTheme="majorEastAsia" w:hAnsi="Calibr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7B6"/>
    <w:rPr>
      <w:rFonts w:ascii="Calibri Bold" w:eastAsia="Meiryo" w:hAnsi="Calibri Bold" w:cs="Arial"/>
      <w:b/>
      <w:bCs/>
      <w:caps/>
      <w:color w:val="010101" w:themeColor="text1"/>
      <w:szCs w:val="26"/>
    </w:rPr>
  </w:style>
  <w:style w:type="paragraph" w:customStyle="1" w:styleId="NumberedParagraph">
    <w:name w:val="Numbered Paragraph"/>
    <w:basedOn w:val="ListParagraph"/>
    <w:link w:val="NumberedParagraphChar"/>
    <w:qFormat/>
    <w:rsid w:val="008F408B"/>
    <w:pPr>
      <w:numPr>
        <w:ilvl w:val="1"/>
        <w:numId w:val="4"/>
      </w:numPr>
      <w:ind w:left="425" w:hanging="425"/>
      <w:contextualSpacing w:val="0"/>
    </w:pPr>
    <w:rPr>
      <w:rFonts w:ascii="Calibri" w:hAnsi="Calibri"/>
      <w:bCs/>
    </w:rPr>
  </w:style>
  <w:style w:type="paragraph" w:customStyle="1" w:styleId="Tab1">
    <w:name w:val="Tab 1"/>
    <w:basedOn w:val="Sub-para111213"/>
    <w:link w:val="Tab1Char"/>
    <w:qFormat/>
    <w:rsid w:val="00230D00"/>
  </w:style>
  <w:style w:type="character" w:customStyle="1" w:styleId="NumberedParagraphChar">
    <w:name w:val="Numbered Paragraph Char"/>
    <w:basedOn w:val="Heading1Char"/>
    <w:link w:val="NumberedParagraph"/>
    <w:rsid w:val="008F408B"/>
    <w:rPr>
      <w:rFonts w:ascii="Calibri" w:eastAsiaTheme="majorEastAsia" w:hAnsi="Calibri" w:cstheme="minorHAnsi"/>
      <w:b w:val="0"/>
      <w:bCs/>
      <w:caps w:val="0"/>
      <w:color w:val="010101" w:themeColor="text1"/>
      <w:szCs w:val="32"/>
    </w:rPr>
  </w:style>
  <w:style w:type="paragraph" w:customStyle="1" w:styleId="Tab2">
    <w:name w:val="Tab 2"/>
    <w:basedOn w:val="Sub-subparaabc"/>
    <w:link w:val="Tab2Char"/>
    <w:qFormat/>
    <w:rsid w:val="00230D00"/>
  </w:style>
  <w:style w:type="character" w:customStyle="1" w:styleId="Tab1Char">
    <w:name w:val="Tab 1 Char"/>
    <w:basedOn w:val="NumberedParagraphChar"/>
    <w:link w:val="Tab1"/>
    <w:rsid w:val="00230D00"/>
    <w:rPr>
      <w:rFonts w:ascii="Calibri" w:eastAsiaTheme="majorEastAsia" w:hAnsi="Calibri" w:cstheme="minorHAnsi"/>
      <w:b w:val="0"/>
      <w:bCs w:val="0"/>
      <w:caps w:val="0"/>
      <w:color w:val="010101" w:themeColor="text1"/>
      <w:szCs w:val="32"/>
    </w:rPr>
  </w:style>
  <w:style w:type="character" w:customStyle="1" w:styleId="Tab2Char">
    <w:name w:val="Tab 2 Char"/>
    <w:basedOn w:val="Tab1Char"/>
    <w:link w:val="Tab2"/>
    <w:rsid w:val="00230D00"/>
    <w:rPr>
      <w:rFonts w:ascii="Calibri" w:eastAsiaTheme="majorEastAsia" w:hAnsi="Calibri" w:cstheme="minorHAnsi"/>
      <w:b w:val="0"/>
      <w:bCs w:val="0"/>
      <w:caps w:val="0"/>
      <w:color w:val="010101" w:themeColor="text1"/>
      <w:szCs w:val="32"/>
    </w:rPr>
  </w:style>
  <w:style w:type="paragraph" w:styleId="Header">
    <w:name w:val="header"/>
    <w:basedOn w:val="Normal"/>
    <w:link w:val="HeaderChar"/>
    <w:uiPriority w:val="99"/>
    <w:unhideWhenUsed/>
    <w:rsid w:val="00DF11DB"/>
    <w:pPr>
      <w:tabs>
        <w:tab w:val="center" w:pos="4513"/>
        <w:tab w:val="right" w:pos="9026"/>
      </w:tabs>
      <w:spacing w:line="240" w:lineRule="auto"/>
    </w:pPr>
  </w:style>
  <w:style w:type="character" w:customStyle="1" w:styleId="HeaderChar">
    <w:name w:val="Header Char"/>
    <w:basedOn w:val="DefaultParagraphFont"/>
    <w:link w:val="Header"/>
    <w:uiPriority w:val="99"/>
    <w:rsid w:val="00DF11DB"/>
  </w:style>
  <w:style w:type="paragraph" w:styleId="Footer">
    <w:name w:val="footer"/>
    <w:basedOn w:val="Normal"/>
    <w:link w:val="FooterChar"/>
    <w:uiPriority w:val="99"/>
    <w:unhideWhenUsed/>
    <w:rsid w:val="00DF11DB"/>
    <w:pPr>
      <w:tabs>
        <w:tab w:val="center" w:pos="4513"/>
        <w:tab w:val="right" w:pos="9026"/>
      </w:tabs>
      <w:spacing w:line="240" w:lineRule="auto"/>
    </w:pPr>
  </w:style>
  <w:style w:type="character" w:customStyle="1" w:styleId="FooterChar">
    <w:name w:val="Footer Char"/>
    <w:basedOn w:val="DefaultParagraphFont"/>
    <w:link w:val="Footer"/>
    <w:uiPriority w:val="99"/>
    <w:rsid w:val="00DF11DB"/>
  </w:style>
  <w:style w:type="paragraph" w:styleId="Title">
    <w:name w:val="Title"/>
    <w:basedOn w:val="Normal"/>
    <w:next w:val="Normal"/>
    <w:link w:val="TitleChar"/>
    <w:uiPriority w:val="10"/>
    <w:qFormat/>
    <w:rsid w:val="008B23B2"/>
    <w:pPr>
      <w:spacing w:before="320" w:line="240" w:lineRule="auto"/>
    </w:pPr>
    <w:rPr>
      <w:rFonts w:eastAsiaTheme="majorEastAsia" w:cstheme="minorHAnsi"/>
      <w:b/>
      <w:bCs/>
      <w:color w:val="0E374B" w:themeColor="accent1"/>
      <w:spacing w:val="-10"/>
      <w:kern w:val="28"/>
      <w:sz w:val="44"/>
      <w:szCs w:val="44"/>
    </w:rPr>
  </w:style>
  <w:style w:type="character" w:customStyle="1" w:styleId="TitleChar">
    <w:name w:val="Title Char"/>
    <w:basedOn w:val="DefaultParagraphFont"/>
    <w:link w:val="Title"/>
    <w:uiPriority w:val="10"/>
    <w:rsid w:val="008B23B2"/>
    <w:rPr>
      <w:rFonts w:eastAsiaTheme="majorEastAsia" w:cstheme="minorHAnsi"/>
      <w:b/>
      <w:bCs/>
      <w:color w:val="0E374B" w:themeColor="accent1"/>
      <w:spacing w:val="-10"/>
      <w:kern w:val="28"/>
      <w:sz w:val="44"/>
      <w:szCs w:val="44"/>
    </w:rPr>
  </w:style>
  <w:style w:type="paragraph" w:styleId="TOCHeading">
    <w:name w:val="TOC Heading"/>
    <w:basedOn w:val="Heading1"/>
    <w:next w:val="Normal"/>
    <w:uiPriority w:val="39"/>
    <w:unhideWhenUsed/>
    <w:qFormat/>
    <w:rsid w:val="00376B47"/>
    <w:pPr>
      <w:numPr>
        <w:numId w:val="0"/>
      </w:numPr>
      <w:spacing w:after="240" w:line="240" w:lineRule="auto"/>
      <w:outlineLvl w:val="9"/>
    </w:pPr>
    <w:rPr>
      <w:rFonts w:cstheme="majorBidi"/>
      <w:bCs w:val="0"/>
      <w:lang w:val="en-US"/>
    </w:rPr>
  </w:style>
  <w:style w:type="paragraph" w:styleId="TOC1">
    <w:name w:val="toc 1"/>
    <w:basedOn w:val="Normal"/>
    <w:next w:val="Normal"/>
    <w:autoRedefine/>
    <w:uiPriority w:val="39"/>
    <w:unhideWhenUsed/>
    <w:rsid w:val="007D4F72"/>
    <w:pPr>
      <w:tabs>
        <w:tab w:val="left" w:pos="440"/>
        <w:tab w:val="right" w:pos="9911"/>
      </w:tabs>
      <w:spacing w:before="360"/>
      <w:jc w:val="left"/>
    </w:pPr>
    <w:rPr>
      <w:rFonts w:asciiTheme="majorHAnsi" w:hAnsiTheme="majorHAnsi" w:cstheme="majorHAnsi"/>
      <w:b/>
      <w:bCs/>
      <w:caps/>
      <w:sz w:val="24"/>
      <w:szCs w:val="24"/>
    </w:rPr>
  </w:style>
  <w:style w:type="character" w:styleId="Hyperlink">
    <w:name w:val="Hyperlink"/>
    <w:basedOn w:val="DefaultParagraphFont"/>
    <w:uiPriority w:val="99"/>
    <w:unhideWhenUsed/>
    <w:rsid w:val="00886FBD"/>
    <w:rPr>
      <w:color w:val="188A95" w:themeColor="accent2"/>
      <w:u w:val="single"/>
    </w:rPr>
  </w:style>
  <w:style w:type="character" w:customStyle="1" w:styleId="Heading2Char">
    <w:name w:val="Heading 2 Char"/>
    <w:basedOn w:val="DefaultParagraphFont"/>
    <w:link w:val="Heading2"/>
    <w:uiPriority w:val="9"/>
    <w:rsid w:val="00376B47"/>
    <w:rPr>
      <w:rFonts w:eastAsiaTheme="majorEastAsia" w:cstheme="majorBidi"/>
      <w:b/>
      <w:bCs/>
      <w:szCs w:val="24"/>
      <w:lang w:eastAsia="en-AU"/>
    </w:rPr>
  </w:style>
  <w:style w:type="character" w:customStyle="1" w:styleId="Heading3Char">
    <w:name w:val="Heading 3 Char"/>
    <w:basedOn w:val="DefaultParagraphFont"/>
    <w:link w:val="Heading3"/>
    <w:uiPriority w:val="9"/>
    <w:rsid w:val="00937F6F"/>
    <w:rPr>
      <w:rFonts w:eastAsiaTheme="majorEastAsia" w:cstheme="majorBidi"/>
      <w:szCs w:val="24"/>
      <w:u w:val="single"/>
    </w:rPr>
  </w:style>
  <w:style w:type="character" w:customStyle="1" w:styleId="Heading4Char">
    <w:name w:val="Heading 4 Char"/>
    <w:basedOn w:val="DefaultParagraphFont"/>
    <w:link w:val="Heading4"/>
    <w:uiPriority w:val="9"/>
    <w:rsid w:val="002B75B7"/>
    <w:rPr>
      <w:rFonts w:ascii="Calibri" w:eastAsiaTheme="majorEastAsia" w:hAnsi="Calibri" w:cstheme="majorBidi"/>
    </w:rPr>
  </w:style>
  <w:style w:type="paragraph" w:styleId="Subtitle">
    <w:name w:val="Subtitle"/>
    <w:basedOn w:val="Normal"/>
    <w:next w:val="Normal"/>
    <w:link w:val="SubtitleChar"/>
    <w:uiPriority w:val="11"/>
    <w:qFormat/>
    <w:rsid w:val="007B094C"/>
    <w:pPr>
      <w:numPr>
        <w:ilvl w:val="1"/>
      </w:numPr>
      <w:spacing w:after="160"/>
    </w:pPr>
    <w:rPr>
      <w:rFonts w:eastAsiaTheme="minorEastAsia"/>
      <w:b/>
      <w:spacing w:val="15"/>
      <w:sz w:val="20"/>
    </w:rPr>
  </w:style>
  <w:style w:type="character" w:customStyle="1" w:styleId="SubtitleChar">
    <w:name w:val="Subtitle Char"/>
    <w:basedOn w:val="DefaultParagraphFont"/>
    <w:link w:val="Subtitle"/>
    <w:uiPriority w:val="11"/>
    <w:rsid w:val="007B094C"/>
    <w:rPr>
      <w:rFonts w:eastAsiaTheme="minorEastAsia"/>
      <w:b/>
      <w:spacing w:val="15"/>
      <w:sz w:val="20"/>
    </w:rPr>
  </w:style>
  <w:style w:type="table" w:styleId="TableGrid">
    <w:name w:val="Table Grid"/>
    <w:basedOn w:val="TableNormal"/>
    <w:uiPriority w:val="59"/>
    <w:rsid w:val="007B0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B094C"/>
    <w:pPr>
      <w:spacing w:before="240"/>
      <w:jc w:val="left"/>
    </w:pPr>
    <w:rPr>
      <w:rFonts w:cstheme="minorHAnsi"/>
      <w:b/>
      <w:bCs/>
      <w:sz w:val="20"/>
      <w:szCs w:val="20"/>
    </w:rPr>
  </w:style>
  <w:style w:type="paragraph" w:styleId="TOC3">
    <w:name w:val="toc 3"/>
    <w:basedOn w:val="Normal"/>
    <w:next w:val="Normal"/>
    <w:autoRedefine/>
    <w:uiPriority w:val="39"/>
    <w:unhideWhenUsed/>
    <w:rsid w:val="003740AD"/>
    <w:pPr>
      <w:spacing w:before="0"/>
      <w:ind w:left="220"/>
      <w:jc w:val="left"/>
    </w:pPr>
    <w:rPr>
      <w:rFonts w:cstheme="minorHAnsi"/>
      <w:sz w:val="20"/>
      <w:szCs w:val="20"/>
    </w:rPr>
  </w:style>
  <w:style w:type="table" w:styleId="GridTable4-Accent1">
    <w:name w:val="Grid Table 4 Accent 1"/>
    <w:basedOn w:val="TableNormal"/>
    <w:uiPriority w:val="49"/>
    <w:rsid w:val="003740AD"/>
    <w:pPr>
      <w:spacing w:after="0" w:line="240" w:lineRule="auto"/>
    </w:pPr>
    <w:tblPr>
      <w:tblStyleRowBandSize w:val="1"/>
      <w:tblStyleColBandSize w:val="1"/>
      <w:tblBorders>
        <w:top w:val="single" w:sz="4" w:space="0" w:color="2A9ED7" w:themeColor="accent1" w:themeTint="99"/>
        <w:left w:val="single" w:sz="4" w:space="0" w:color="2A9ED7" w:themeColor="accent1" w:themeTint="99"/>
        <w:bottom w:val="single" w:sz="4" w:space="0" w:color="2A9ED7" w:themeColor="accent1" w:themeTint="99"/>
        <w:right w:val="single" w:sz="4" w:space="0" w:color="2A9ED7" w:themeColor="accent1" w:themeTint="99"/>
        <w:insideH w:val="single" w:sz="4" w:space="0" w:color="2A9ED7" w:themeColor="accent1" w:themeTint="99"/>
        <w:insideV w:val="single" w:sz="4" w:space="0" w:color="2A9ED7" w:themeColor="accent1" w:themeTint="99"/>
      </w:tblBorders>
    </w:tblPr>
    <w:tblStylePr w:type="firstRow">
      <w:rPr>
        <w:b/>
        <w:bCs/>
        <w:color w:val="FFFFFF" w:themeColor="background1"/>
      </w:rPr>
      <w:tblPr/>
      <w:tcPr>
        <w:tcBorders>
          <w:top w:val="single" w:sz="4" w:space="0" w:color="0E374B" w:themeColor="accent1"/>
          <w:left w:val="single" w:sz="4" w:space="0" w:color="0E374B" w:themeColor="accent1"/>
          <w:bottom w:val="single" w:sz="4" w:space="0" w:color="0E374B" w:themeColor="accent1"/>
          <w:right w:val="single" w:sz="4" w:space="0" w:color="0E374B" w:themeColor="accent1"/>
          <w:insideH w:val="nil"/>
          <w:insideV w:val="nil"/>
        </w:tcBorders>
        <w:shd w:val="clear" w:color="auto" w:fill="0E374B" w:themeFill="accent1"/>
      </w:tcPr>
    </w:tblStylePr>
    <w:tblStylePr w:type="lastRow">
      <w:rPr>
        <w:b/>
        <w:bCs/>
      </w:rPr>
      <w:tblPr/>
      <w:tcPr>
        <w:tcBorders>
          <w:top w:val="double" w:sz="4" w:space="0" w:color="0E374B" w:themeColor="accent1"/>
        </w:tcBorders>
      </w:tcPr>
    </w:tblStylePr>
    <w:tblStylePr w:type="firstCol">
      <w:rPr>
        <w:b/>
        <w:bCs/>
      </w:rPr>
    </w:tblStylePr>
    <w:tblStylePr w:type="lastCol">
      <w:rPr>
        <w:b/>
        <w:bCs/>
      </w:rPr>
    </w:tblStylePr>
    <w:tblStylePr w:type="band1Vert">
      <w:tblPr/>
      <w:tcPr>
        <w:shd w:val="clear" w:color="auto" w:fill="B7DEF1" w:themeFill="accent1" w:themeFillTint="33"/>
      </w:tcPr>
    </w:tblStylePr>
    <w:tblStylePr w:type="band1Horz">
      <w:tblPr/>
      <w:tcPr>
        <w:shd w:val="clear" w:color="auto" w:fill="B7DEF1" w:themeFill="accent1" w:themeFillTint="33"/>
      </w:tcPr>
    </w:tblStylePr>
  </w:style>
  <w:style w:type="paragraph" w:styleId="ListParagraph">
    <w:name w:val="List Paragraph"/>
    <w:basedOn w:val="Normal"/>
    <w:uiPriority w:val="34"/>
    <w:rsid w:val="003740AD"/>
    <w:pPr>
      <w:ind w:left="720"/>
      <w:contextualSpacing/>
    </w:pPr>
  </w:style>
  <w:style w:type="paragraph" w:styleId="List">
    <w:name w:val="List"/>
    <w:basedOn w:val="Normal"/>
    <w:uiPriority w:val="99"/>
    <w:semiHidden/>
    <w:unhideWhenUsed/>
    <w:rsid w:val="003740AD"/>
    <w:pPr>
      <w:ind w:left="283" w:hanging="283"/>
      <w:contextualSpacing/>
    </w:pPr>
  </w:style>
  <w:style w:type="paragraph" w:customStyle="1" w:styleId="Bullet1">
    <w:name w:val="Bullet 1"/>
    <w:basedOn w:val="ListBullet"/>
    <w:link w:val="Bullet1Char"/>
    <w:qFormat/>
    <w:rsid w:val="008B23B2"/>
    <w:pPr>
      <w:ind w:left="425" w:hanging="425"/>
      <w:contextualSpacing w:val="0"/>
    </w:pPr>
  </w:style>
  <w:style w:type="paragraph" w:customStyle="1" w:styleId="Bullet2">
    <w:name w:val="Bullet 2"/>
    <w:basedOn w:val="Bullet1"/>
    <w:link w:val="Bullet2Char"/>
    <w:qFormat/>
    <w:rsid w:val="008B23B2"/>
    <w:pPr>
      <w:numPr>
        <w:numId w:val="7"/>
      </w:numPr>
    </w:pPr>
  </w:style>
  <w:style w:type="paragraph" w:styleId="ListBullet">
    <w:name w:val="List Bullet"/>
    <w:basedOn w:val="Normal"/>
    <w:link w:val="ListBulletChar"/>
    <w:uiPriority w:val="99"/>
    <w:semiHidden/>
    <w:unhideWhenUsed/>
    <w:rsid w:val="008B23B2"/>
    <w:pPr>
      <w:numPr>
        <w:numId w:val="6"/>
      </w:numPr>
      <w:contextualSpacing/>
    </w:pPr>
  </w:style>
  <w:style w:type="character" w:customStyle="1" w:styleId="ListBulletChar">
    <w:name w:val="List Bullet Char"/>
    <w:basedOn w:val="DefaultParagraphFont"/>
    <w:link w:val="ListBullet"/>
    <w:uiPriority w:val="99"/>
    <w:semiHidden/>
    <w:rsid w:val="008B23B2"/>
  </w:style>
  <w:style w:type="character" w:customStyle="1" w:styleId="Bullet1Char">
    <w:name w:val="Bullet 1 Char"/>
    <w:basedOn w:val="ListBulletChar"/>
    <w:link w:val="Bullet1"/>
    <w:rsid w:val="008B23B2"/>
  </w:style>
  <w:style w:type="paragraph" w:customStyle="1" w:styleId="Bullet3">
    <w:name w:val="Bullet 3"/>
    <w:basedOn w:val="Bullet2"/>
    <w:link w:val="Bullet3Char"/>
    <w:qFormat/>
    <w:rsid w:val="008B23B2"/>
    <w:pPr>
      <w:numPr>
        <w:numId w:val="8"/>
      </w:numPr>
      <w:ind w:left="1145" w:hanging="425"/>
    </w:pPr>
  </w:style>
  <w:style w:type="character" w:customStyle="1" w:styleId="Bullet2Char">
    <w:name w:val="Bullet 2 Char"/>
    <w:basedOn w:val="Bullet1Char"/>
    <w:link w:val="Bullet2"/>
    <w:rsid w:val="008B23B2"/>
  </w:style>
  <w:style w:type="character" w:customStyle="1" w:styleId="Bullet3Char">
    <w:name w:val="Bullet 3 Char"/>
    <w:basedOn w:val="Bullet2Char"/>
    <w:link w:val="Bullet3"/>
    <w:rsid w:val="008B23B2"/>
  </w:style>
  <w:style w:type="paragraph" w:customStyle="1" w:styleId="NumberedList1">
    <w:name w:val="Numbered List 1"/>
    <w:basedOn w:val="Normal"/>
    <w:rsid w:val="00395A70"/>
    <w:pPr>
      <w:numPr>
        <w:numId w:val="11"/>
      </w:numPr>
      <w:suppressAutoHyphens/>
      <w:spacing w:before="0" w:after="100" w:line="240" w:lineRule="auto"/>
      <w:ind w:left="340" w:hanging="340"/>
    </w:pPr>
    <w:rPr>
      <w:rFonts w:ascii="Calibri" w:hAnsi="Calibri"/>
      <w:color w:val="0E374B" w:themeColor="accent1"/>
    </w:rPr>
  </w:style>
  <w:style w:type="paragraph" w:customStyle="1" w:styleId="NumberedList3">
    <w:name w:val="Numbered List 3"/>
    <w:basedOn w:val="Normal"/>
    <w:qFormat/>
    <w:rsid w:val="00395A70"/>
    <w:pPr>
      <w:numPr>
        <w:ilvl w:val="2"/>
        <w:numId w:val="11"/>
      </w:numPr>
      <w:suppressAutoHyphens/>
      <w:spacing w:before="0" w:after="100" w:line="260" w:lineRule="atLeast"/>
      <w:jc w:val="left"/>
    </w:pPr>
    <w:rPr>
      <w:rFonts w:ascii="Calibri" w:hAnsi="Calibri"/>
      <w:color w:val="0E374B" w:themeColor="accent1"/>
    </w:rPr>
  </w:style>
  <w:style w:type="paragraph" w:customStyle="1" w:styleId="Heading1Numbered">
    <w:name w:val="Heading 1 Numbered"/>
    <w:basedOn w:val="Heading1"/>
    <w:next w:val="Normal"/>
    <w:rsid w:val="00395A70"/>
    <w:pPr>
      <w:numPr>
        <w:numId w:val="0"/>
      </w:numPr>
      <w:spacing w:after="240"/>
      <w:contextualSpacing/>
    </w:pPr>
    <w:rPr>
      <w:rFonts w:ascii="Calibri" w:hAnsi="Calibri" w:cstheme="majorBidi"/>
      <w:color w:val="5F6163" w:themeColor="accent6" w:themeShade="BF"/>
      <w:sz w:val="28"/>
      <w:szCs w:val="28"/>
    </w:rPr>
  </w:style>
  <w:style w:type="numbering" w:customStyle="1" w:styleId="Numberedlist">
    <w:name w:val="Numbered list"/>
    <w:uiPriority w:val="99"/>
    <w:rsid w:val="00395A70"/>
    <w:pPr>
      <w:numPr>
        <w:numId w:val="10"/>
      </w:numPr>
    </w:pPr>
  </w:style>
  <w:style w:type="paragraph" w:styleId="BodyText">
    <w:name w:val="Body Text"/>
    <w:aliases w:val="Body Text*"/>
    <w:basedOn w:val="Normal"/>
    <w:link w:val="BodyTextChar"/>
    <w:rsid w:val="00395A70"/>
    <w:pPr>
      <w:spacing w:before="0" w:line="360" w:lineRule="auto"/>
    </w:pPr>
    <w:rPr>
      <w:rFonts w:ascii="Arial" w:eastAsia="Times New Roman" w:hAnsi="Arial" w:cs="Times New Roman"/>
      <w:szCs w:val="20"/>
    </w:rPr>
  </w:style>
  <w:style w:type="character" w:customStyle="1" w:styleId="BodyTextChar">
    <w:name w:val="Body Text Char"/>
    <w:aliases w:val="Body Text* Char"/>
    <w:basedOn w:val="DefaultParagraphFont"/>
    <w:link w:val="BodyText"/>
    <w:rsid w:val="00395A70"/>
    <w:rPr>
      <w:rFonts w:ascii="Arial" w:eastAsia="Times New Roman" w:hAnsi="Arial" w:cs="Times New Roman"/>
      <w:szCs w:val="20"/>
    </w:rPr>
  </w:style>
  <w:style w:type="paragraph" w:styleId="FootnoteText">
    <w:name w:val="footnote text"/>
    <w:basedOn w:val="Normal"/>
    <w:link w:val="FootnoteTextChar"/>
    <w:uiPriority w:val="99"/>
    <w:unhideWhenUsed/>
    <w:rsid w:val="0045320A"/>
    <w:pPr>
      <w:suppressAutoHyphens/>
      <w:spacing w:before="0" w:line="240" w:lineRule="auto"/>
      <w:jc w:val="left"/>
    </w:pPr>
    <w:rPr>
      <w:rFonts w:ascii="Calibri" w:hAnsi="Calibri"/>
      <w:color w:val="010101" w:themeColor="text1"/>
      <w:sz w:val="20"/>
      <w:szCs w:val="20"/>
    </w:rPr>
  </w:style>
  <w:style w:type="character" w:customStyle="1" w:styleId="FootnoteTextChar">
    <w:name w:val="Footnote Text Char"/>
    <w:basedOn w:val="DefaultParagraphFont"/>
    <w:link w:val="FootnoteText"/>
    <w:uiPriority w:val="99"/>
    <w:rsid w:val="000262BA"/>
    <w:rPr>
      <w:rFonts w:ascii="Calibri" w:hAnsi="Calibri"/>
      <w:color w:val="010101" w:themeColor="text1"/>
      <w:sz w:val="20"/>
      <w:szCs w:val="20"/>
    </w:rPr>
  </w:style>
  <w:style w:type="character" w:styleId="FootnoteReference">
    <w:name w:val="footnote reference"/>
    <w:basedOn w:val="DefaultParagraphFont"/>
    <w:uiPriority w:val="99"/>
    <w:unhideWhenUsed/>
    <w:rsid w:val="00395A70"/>
    <w:rPr>
      <w:vertAlign w:val="superscript"/>
    </w:rPr>
  </w:style>
  <w:style w:type="paragraph" w:customStyle="1" w:styleId="NumberedList2">
    <w:name w:val="Numbered List 2"/>
    <w:basedOn w:val="Para1123"/>
    <w:qFormat/>
    <w:rsid w:val="00EE0943"/>
  </w:style>
  <w:style w:type="paragraph" w:customStyle="1" w:styleId="Tabletext">
    <w:name w:val="Table text"/>
    <w:basedOn w:val="Normal"/>
    <w:link w:val="TabletextChar"/>
    <w:qFormat/>
    <w:rsid w:val="00395A70"/>
    <w:pPr>
      <w:suppressAutoHyphens/>
      <w:spacing w:before="0" w:line="240" w:lineRule="auto"/>
      <w:jc w:val="center"/>
    </w:pPr>
    <w:rPr>
      <w:rFonts w:ascii="Calibri" w:hAnsi="Calibri"/>
      <w:color w:val="0E374B" w:themeColor="accent1"/>
      <w:sz w:val="20"/>
      <w:szCs w:val="20"/>
      <w:lang w:eastAsia="en-AU"/>
    </w:rPr>
  </w:style>
  <w:style w:type="paragraph" w:customStyle="1" w:styleId="Tableheader">
    <w:name w:val="Table header"/>
    <w:basedOn w:val="Normal"/>
    <w:link w:val="TableheaderChar"/>
    <w:qFormat/>
    <w:rsid w:val="00395A70"/>
    <w:pPr>
      <w:suppressAutoHyphens/>
      <w:spacing w:before="0" w:line="240" w:lineRule="auto"/>
      <w:jc w:val="center"/>
    </w:pPr>
    <w:rPr>
      <w:rFonts w:ascii="Calibri" w:hAnsi="Calibri"/>
      <w:b/>
      <w:bCs/>
      <w:color w:val="0E374B" w:themeColor="accent1"/>
      <w:sz w:val="20"/>
      <w:szCs w:val="20"/>
      <w:lang w:eastAsia="en-AU"/>
    </w:rPr>
  </w:style>
  <w:style w:type="character" w:customStyle="1" w:styleId="TabletextChar">
    <w:name w:val="Table text Char"/>
    <w:basedOn w:val="DefaultParagraphFont"/>
    <w:link w:val="Tabletext"/>
    <w:rsid w:val="00395A70"/>
    <w:rPr>
      <w:rFonts w:ascii="Calibri" w:hAnsi="Calibri"/>
      <w:color w:val="0E374B" w:themeColor="accent1"/>
      <w:sz w:val="20"/>
      <w:szCs w:val="20"/>
      <w:lang w:eastAsia="en-AU"/>
    </w:rPr>
  </w:style>
  <w:style w:type="character" w:customStyle="1" w:styleId="TableheaderChar">
    <w:name w:val="Table header Char"/>
    <w:basedOn w:val="DefaultParagraphFont"/>
    <w:link w:val="Tableheader"/>
    <w:rsid w:val="00395A70"/>
    <w:rPr>
      <w:rFonts w:ascii="Calibri" w:hAnsi="Calibri"/>
      <w:b/>
      <w:bCs/>
      <w:color w:val="0E374B" w:themeColor="accent1"/>
      <w:sz w:val="20"/>
      <w:szCs w:val="20"/>
      <w:lang w:eastAsia="en-AU"/>
    </w:rPr>
  </w:style>
  <w:style w:type="paragraph" w:styleId="Revision">
    <w:name w:val="Revision"/>
    <w:hidden/>
    <w:uiPriority w:val="99"/>
    <w:semiHidden/>
    <w:rsid w:val="001B0E38"/>
    <w:pPr>
      <w:spacing w:after="0" w:line="240" w:lineRule="auto"/>
    </w:pPr>
  </w:style>
  <w:style w:type="character" w:styleId="UnresolvedMention">
    <w:name w:val="Unresolved Mention"/>
    <w:basedOn w:val="DefaultParagraphFont"/>
    <w:uiPriority w:val="99"/>
    <w:semiHidden/>
    <w:unhideWhenUsed/>
    <w:rsid w:val="001B0E38"/>
    <w:rPr>
      <w:color w:val="605E5C"/>
      <w:shd w:val="clear" w:color="auto" w:fill="E1DFDD"/>
    </w:rPr>
  </w:style>
  <w:style w:type="paragraph" w:customStyle="1" w:styleId="FootnoteText1">
    <w:name w:val="Footnote Text1"/>
    <w:basedOn w:val="FootnoteText"/>
    <w:link w:val="FootnotetextChar0"/>
    <w:qFormat/>
    <w:rsid w:val="007D4F72"/>
    <w:pPr>
      <w:tabs>
        <w:tab w:val="left" w:pos="680"/>
      </w:tabs>
      <w:ind w:left="680" w:hanging="680"/>
    </w:pPr>
  </w:style>
  <w:style w:type="character" w:customStyle="1" w:styleId="FootnotetextChar0">
    <w:name w:val="Footnote text Char"/>
    <w:basedOn w:val="FootnoteTextChar"/>
    <w:link w:val="FootnoteText1"/>
    <w:rsid w:val="007D4F72"/>
    <w:rPr>
      <w:rFonts w:ascii="Calibri" w:hAnsi="Calibri"/>
      <w:color w:val="010101" w:themeColor="text1"/>
      <w:sz w:val="20"/>
      <w:szCs w:val="20"/>
    </w:rPr>
  </w:style>
  <w:style w:type="paragraph" w:customStyle="1" w:styleId="FigureHeadings">
    <w:name w:val="Figure Headings"/>
    <w:basedOn w:val="Normal"/>
    <w:next w:val="Normal"/>
    <w:qFormat/>
    <w:rsid w:val="00803960"/>
    <w:pPr>
      <w:numPr>
        <w:numId w:val="22"/>
      </w:numPr>
      <w:suppressAutoHyphens/>
      <w:spacing w:before="240" w:after="100" w:line="260" w:lineRule="atLeast"/>
      <w:jc w:val="left"/>
    </w:pPr>
    <w:rPr>
      <w:rFonts w:ascii="Calibri" w:hAnsi="Calibri"/>
      <w:b/>
      <w:color w:val="0E374B" w:themeColor="accent1"/>
      <w:sz w:val="24"/>
    </w:rPr>
  </w:style>
  <w:style w:type="numbering" w:customStyle="1" w:styleId="FigureTitles">
    <w:name w:val="Figure Titles"/>
    <w:uiPriority w:val="99"/>
    <w:rsid w:val="00803960"/>
    <w:pPr>
      <w:numPr>
        <w:numId w:val="22"/>
      </w:numPr>
    </w:pPr>
  </w:style>
  <w:style w:type="paragraph" w:customStyle="1" w:styleId="Para1123">
    <w:name w:val="Para 1 (1. 2. 3.)"/>
    <w:basedOn w:val="Normal"/>
    <w:link w:val="Para1123Char"/>
    <w:qFormat/>
    <w:rsid w:val="000D1B49"/>
    <w:pPr>
      <w:numPr>
        <w:numId w:val="31"/>
      </w:numPr>
      <w:suppressAutoHyphens/>
      <w:spacing w:before="160" w:after="120" w:line="260" w:lineRule="atLeast"/>
      <w:jc w:val="left"/>
    </w:pPr>
  </w:style>
  <w:style w:type="character" w:customStyle="1" w:styleId="Para1123Char">
    <w:name w:val="Para 1 (1. 2. 3.) Char"/>
    <w:basedOn w:val="DefaultParagraphFont"/>
    <w:link w:val="Para1123"/>
    <w:rsid w:val="000D1B49"/>
  </w:style>
  <w:style w:type="paragraph" w:customStyle="1" w:styleId="Sub-para111213">
    <w:name w:val="Sub-para (1.1 1.2 1.3)"/>
    <w:basedOn w:val="Para1123"/>
    <w:link w:val="Sub-para111213Char"/>
    <w:uiPriority w:val="6"/>
    <w:qFormat/>
    <w:rsid w:val="00F1765A"/>
    <w:pPr>
      <w:numPr>
        <w:ilvl w:val="1"/>
      </w:numPr>
    </w:pPr>
  </w:style>
  <w:style w:type="character" w:customStyle="1" w:styleId="Sub-para111213Char">
    <w:name w:val="Sub-para (1.1 1.2 1.3) Char"/>
    <w:basedOn w:val="Para1123Char"/>
    <w:link w:val="Sub-para111213"/>
    <w:uiPriority w:val="6"/>
    <w:rsid w:val="00F1765A"/>
  </w:style>
  <w:style w:type="paragraph" w:customStyle="1" w:styleId="Sub-subparaabc">
    <w:name w:val="Sub-sub para (a. b. c.)"/>
    <w:basedOn w:val="Sub-para111213"/>
    <w:link w:val="Sub-subparaabcChar"/>
    <w:uiPriority w:val="7"/>
    <w:qFormat/>
    <w:rsid w:val="00CE76A2"/>
    <w:pPr>
      <w:numPr>
        <w:ilvl w:val="2"/>
      </w:numPr>
    </w:pPr>
  </w:style>
  <w:style w:type="character" w:customStyle="1" w:styleId="Sub-subparaabcChar">
    <w:name w:val="Sub-sub para (a. b. c.) Char"/>
    <w:basedOn w:val="Sub-para111213Char"/>
    <w:link w:val="Sub-subparaabc"/>
    <w:uiPriority w:val="7"/>
    <w:rsid w:val="00CE76A2"/>
  </w:style>
  <w:style w:type="character" w:styleId="CommentReference">
    <w:name w:val="annotation reference"/>
    <w:basedOn w:val="DefaultParagraphFont"/>
    <w:uiPriority w:val="99"/>
    <w:semiHidden/>
    <w:unhideWhenUsed/>
    <w:rsid w:val="00066DEC"/>
    <w:rPr>
      <w:sz w:val="16"/>
      <w:szCs w:val="16"/>
    </w:rPr>
  </w:style>
  <w:style w:type="paragraph" w:styleId="CommentText">
    <w:name w:val="annotation text"/>
    <w:basedOn w:val="Normal"/>
    <w:link w:val="CommentTextChar"/>
    <w:uiPriority w:val="99"/>
    <w:unhideWhenUsed/>
    <w:rsid w:val="00066DEC"/>
    <w:pPr>
      <w:spacing w:line="240" w:lineRule="auto"/>
    </w:pPr>
    <w:rPr>
      <w:sz w:val="20"/>
      <w:szCs w:val="20"/>
    </w:rPr>
  </w:style>
  <w:style w:type="character" w:customStyle="1" w:styleId="CommentTextChar">
    <w:name w:val="Comment Text Char"/>
    <w:basedOn w:val="DefaultParagraphFont"/>
    <w:link w:val="CommentText"/>
    <w:uiPriority w:val="99"/>
    <w:rsid w:val="00066DEC"/>
    <w:rPr>
      <w:sz w:val="20"/>
      <w:szCs w:val="20"/>
    </w:rPr>
  </w:style>
  <w:style w:type="paragraph" w:styleId="CommentSubject">
    <w:name w:val="annotation subject"/>
    <w:basedOn w:val="CommentText"/>
    <w:next w:val="CommentText"/>
    <w:link w:val="CommentSubjectChar"/>
    <w:uiPriority w:val="99"/>
    <w:semiHidden/>
    <w:unhideWhenUsed/>
    <w:rsid w:val="00066DEC"/>
    <w:rPr>
      <w:b/>
      <w:bCs/>
    </w:rPr>
  </w:style>
  <w:style w:type="character" w:customStyle="1" w:styleId="CommentSubjectChar">
    <w:name w:val="Comment Subject Char"/>
    <w:basedOn w:val="CommentTextChar"/>
    <w:link w:val="CommentSubject"/>
    <w:uiPriority w:val="99"/>
    <w:semiHidden/>
    <w:rsid w:val="00066DEC"/>
    <w:rPr>
      <w:b/>
      <w:bCs/>
      <w:sz w:val="20"/>
      <w:szCs w:val="20"/>
    </w:rPr>
  </w:style>
  <w:style w:type="character" w:styleId="FollowedHyperlink">
    <w:name w:val="FollowedHyperlink"/>
    <w:uiPriority w:val="99"/>
    <w:unhideWhenUsed/>
    <w:rsid w:val="00886FBD"/>
    <w:rPr>
      <w:color w:val="188A95" w:themeColor="accent2"/>
      <w:u w:val="single"/>
    </w:rPr>
  </w:style>
  <w:style w:type="paragraph" w:customStyle="1" w:styleId="AnnexureNumbers">
    <w:name w:val="Annexure Numbers"/>
    <w:basedOn w:val="ListParagraph"/>
    <w:uiPriority w:val="13"/>
    <w:qFormat/>
    <w:rsid w:val="006F4768"/>
    <w:pPr>
      <w:keepNext/>
      <w:suppressAutoHyphens/>
      <w:spacing w:before="160" w:after="120"/>
      <w:ind w:hanging="360"/>
      <w:contextualSpacing w:val="0"/>
    </w:pPr>
    <w:rPr>
      <w:rFonts w:ascii="Calibri" w:hAnsi="Calibri"/>
    </w:rPr>
  </w:style>
  <w:style w:type="paragraph" w:customStyle="1" w:styleId="Sub-sub-subparai">
    <w:name w:val="Sub-sub-sub para (i."/>
    <w:aliases w:val="ii.,iii.,)"/>
    <w:basedOn w:val="Sub-subparaabc"/>
    <w:link w:val="Sub-sub-subparaiChar"/>
    <w:uiPriority w:val="8"/>
    <w:qFormat/>
    <w:rsid w:val="00BC534D"/>
    <w:pPr>
      <w:numPr>
        <w:ilvl w:val="3"/>
      </w:numPr>
    </w:pPr>
  </w:style>
  <w:style w:type="character" w:customStyle="1" w:styleId="Sub-sub-subparaiChar">
    <w:name w:val="Sub-sub-sub para (i. Char"/>
    <w:aliases w:val="ii. Char,iii. Char,) Char"/>
    <w:basedOn w:val="Sub-subparaabcChar"/>
    <w:link w:val="Sub-sub-subparai"/>
    <w:uiPriority w:val="8"/>
    <w:rsid w:val="00BC534D"/>
  </w:style>
  <w:style w:type="paragraph" w:styleId="TOC4">
    <w:name w:val="toc 4"/>
    <w:basedOn w:val="Normal"/>
    <w:next w:val="Normal"/>
    <w:autoRedefine/>
    <w:uiPriority w:val="39"/>
    <w:unhideWhenUsed/>
    <w:rsid w:val="00E30CEA"/>
    <w:pPr>
      <w:spacing w:before="0"/>
      <w:ind w:left="440"/>
      <w:jc w:val="left"/>
    </w:pPr>
    <w:rPr>
      <w:rFonts w:cstheme="minorHAnsi"/>
      <w:sz w:val="20"/>
      <w:szCs w:val="20"/>
    </w:rPr>
  </w:style>
  <w:style w:type="paragraph" w:styleId="TOC5">
    <w:name w:val="toc 5"/>
    <w:basedOn w:val="Normal"/>
    <w:next w:val="Normal"/>
    <w:autoRedefine/>
    <w:uiPriority w:val="39"/>
    <w:unhideWhenUsed/>
    <w:rsid w:val="00E30CEA"/>
    <w:pPr>
      <w:spacing w:before="0"/>
      <w:ind w:left="660"/>
      <w:jc w:val="left"/>
    </w:pPr>
    <w:rPr>
      <w:rFonts w:cstheme="minorHAnsi"/>
      <w:sz w:val="20"/>
      <w:szCs w:val="20"/>
    </w:rPr>
  </w:style>
  <w:style w:type="paragraph" w:styleId="TOC6">
    <w:name w:val="toc 6"/>
    <w:basedOn w:val="Normal"/>
    <w:next w:val="Normal"/>
    <w:autoRedefine/>
    <w:uiPriority w:val="39"/>
    <w:unhideWhenUsed/>
    <w:rsid w:val="00E30CEA"/>
    <w:pPr>
      <w:spacing w:before="0"/>
      <w:ind w:left="880"/>
      <w:jc w:val="left"/>
    </w:pPr>
    <w:rPr>
      <w:rFonts w:cstheme="minorHAnsi"/>
      <w:sz w:val="20"/>
      <w:szCs w:val="20"/>
    </w:rPr>
  </w:style>
  <w:style w:type="paragraph" w:styleId="TOC7">
    <w:name w:val="toc 7"/>
    <w:basedOn w:val="Normal"/>
    <w:next w:val="Normal"/>
    <w:autoRedefine/>
    <w:uiPriority w:val="39"/>
    <w:unhideWhenUsed/>
    <w:rsid w:val="00E30CEA"/>
    <w:pPr>
      <w:spacing w:before="0"/>
      <w:ind w:left="1100"/>
      <w:jc w:val="left"/>
    </w:pPr>
    <w:rPr>
      <w:rFonts w:cstheme="minorHAnsi"/>
      <w:sz w:val="20"/>
      <w:szCs w:val="20"/>
    </w:rPr>
  </w:style>
  <w:style w:type="paragraph" w:styleId="TOC8">
    <w:name w:val="toc 8"/>
    <w:basedOn w:val="Normal"/>
    <w:next w:val="Normal"/>
    <w:autoRedefine/>
    <w:uiPriority w:val="39"/>
    <w:unhideWhenUsed/>
    <w:rsid w:val="00E30CEA"/>
    <w:pPr>
      <w:spacing w:before="0"/>
      <w:ind w:left="1320"/>
      <w:jc w:val="left"/>
    </w:pPr>
    <w:rPr>
      <w:rFonts w:cstheme="minorHAnsi"/>
      <w:sz w:val="20"/>
      <w:szCs w:val="20"/>
    </w:rPr>
  </w:style>
  <w:style w:type="paragraph" w:styleId="TOC9">
    <w:name w:val="toc 9"/>
    <w:basedOn w:val="Normal"/>
    <w:next w:val="Normal"/>
    <w:autoRedefine/>
    <w:uiPriority w:val="39"/>
    <w:unhideWhenUsed/>
    <w:rsid w:val="00E30CEA"/>
    <w:pPr>
      <w:spacing w:before="0"/>
      <w:ind w:left="1540"/>
      <w:jc w:val="left"/>
    </w:pPr>
    <w:rPr>
      <w:rFonts w:cstheme="minorHAnsi"/>
      <w:sz w:val="20"/>
      <w:szCs w:val="20"/>
    </w:rPr>
  </w:style>
  <w:style w:type="paragraph" w:customStyle="1" w:styleId="TableheaderGuide">
    <w:name w:val="Table header (Guide)"/>
    <w:basedOn w:val="Normal"/>
    <w:link w:val="TableheaderGuideChar"/>
    <w:uiPriority w:val="8"/>
    <w:qFormat/>
    <w:rsid w:val="001960E9"/>
    <w:pPr>
      <w:keepNext/>
      <w:spacing w:before="100" w:after="120" w:line="260" w:lineRule="atLeast"/>
      <w:jc w:val="left"/>
    </w:pPr>
    <w:rPr>
      <w:b/>
      <w:color w:val="FFFFFF" w:themeColor="background1"/>
    </w:rPr>
  </w:style>
  <w:style w:type="character" w:customStyle="1" w:styleId="TableheaderGuideChar">
    <w:name w:val="Table header (Guide) Char"/>
    <w:basedOn w:val="DefaultParagraphFont"/>
    <w:link w:val="TableheaderGuide"/>
    <w:uiPriority w:val="8"/>
    <w:rsid w:val="001960E9"/>
    <w:rPr>
      <w:b/>
      <w:color w:val="FFFFFF" w:themeColor="background1"/>
    </w:rPr>
  </w:style>
  <w:style w:type="paragraph" w:customStyle="1" w:styleId="TablebodyChargestables-size10">
    <w:name w:val="Table body (Charges tables - size 10)"/>
    <w:basedOn w:val="Normal"/>
    <w:link w:val="TablebodyChargestables-size10Char"/>
    <w:uiPriority w:val="11"/>
    <w:qFormat/>
    <w:rsid w:val="00837B13"/>
    <w:pPr>
      <w:spacing w:before="100" w:after="120" w:line="260" w:lineRule="atLeast"/>
      <w:jc w:val="left"/>
    </w:pPr>
  </w:style>
  <w:style w:type="character" w:customStyle="1" w:styleId="TablebodyChargestables-size10Char">
    <w:name w:val="Table body (Charges tables - size 10) Char"/>
    <w:basedOn w:val="DefaultParagraphFont"/>
    <w:link w:val="TablebodyChargestables-size10"/>
    <w:uiPriority w:val="11"/>
    <w:rsid w:val="00837B13"/>
  </w:style>
  <w:style w:type="paragraph" w:customStyle="1" w:styleId="TableheadingChargestable-size10">
    <w:name w:val="Table heading (Charges table - size 10)"/>
    <w:basedOn w:val="Normal"/>
    <w:link w:val="TableheadingChargestable-size10Char"/>
    <w:uiPriority w:val="10"/>
    <w:qFormat/>
    <w:rsid w:val="00837B13"/>
    <w:pPr>
      <w:spacing w:before="100" w:after="120" w:line="260" w:lineRule="atLeast"/>
      <w:jc w:val="left"/>
    </w:pPr>
    <w:rPr>
      <w:b/>
      <w:bCs/>
    </w:rPr>
  </w:style>
  <w:style w:type="character" w:customStyle="1" w:styleId="TableheadingChargestable-size10Char">
    <w:name w:val="Table heading (Charges table - size 10) Char"/>
    <w:basedOn w:val="DefaultParagraphFont"/>
    <w:link w:val="TableheadingChargestable-size10"/>
    <w:uiPriority w:val="10"/>
    <w:rsid w:val="00837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54622">
      <w:bodyDiv w:val="1"/>
      <w:marLeft w:val="0"/>
      <w:marRight w:val="0"/>
      <w:marTop w:val="0"/>
      <w:marBottom w:val="0"/>
      <w:divBdr>
        <w:top w:val="none" w:sz="0" w:space="0" w:color="auto"/>
        <w:left w:val="none" w:sz="0" w:space="0" w:color="auto"/>
        <w:bottom w:val="none" w:sz="0" w:space="0" w:color="auto"/>
        <w:right w:val="none" w:sz="0" w:space="0" w:color="auto"/>
      </w:divBdr>
    </w:div>
    <w:div w:id="589852431">
      <w:bodyDiv w:val="1"/>
      <w:marLeft w:val="0"/>
      <w:marRight w:val="0"/>
      <w:marTop w:val="0"/>
      <w:marBottom w:val="0"/>
      <w:divBdr>
        <w:top w:val="none" w:sz="0" w:space="0" w:color="auto"/>
        <w:left w:val="none" w:sz="0" w:space="0" w:color="auto"/>
        <w:bottom w:val="none" w:sz="0" w:space="0" w:color="auto"/>
        <w:right w:val="none" w:sz="0" w:space="0" w:color="auto"/>
      </w:divBdr>
    </w:div>
    <w:div w:id="708531370">
      <w:bodyDiv w:val="1"/>
      <w:marLeft w:val="0"/>
      <w:marRight w:val="0"/>
      <w:marTop w:val="0"/>
      <w:marBottom w:val="0"/>
      <w:divBdr>
        <w:top w:val="none" w:sz="0" w:space="0" w:color="auto"/>
        <w:left w:val="none" w:sz="0" w:space="0" w:color="auto"/>
        <w:bottom w:val="none" w:sz="0" w:space="0" w:color="auto"/>
        <w:right w:val="none" w:sz="0" w:space="0" w:color="auto"/>
      </w:divBdr>
    </w:div>
    <w:div w:id="725762115">
      <w:bodyDiv w:val="1"/>
      <w:marLeft w:val="0"/>
      <w:marRight w:val="0"/>
      <w:marTop w:val="0"/>
      <w:marBottom w:val="0"/>
      <w:divBdr>
        <w:top w:val="none" w:sz="0" w:space="0" w:color="auto"/>
        <w:left w:val="none" w:sz="0" w:space="0" w:color="auto"/>
        <w:bottom w:val="none" w:sz="0" w:space="0" w:color="auto"/>
        <w:right w:val="none" w:sz="0" w:space="0" w:color="auto"/>
      </w:divBdr>
    </w:div>
    <w:div w:id="1170219826">
      <w:bodyDiv w:val="1"/>
      <w:marLeft w:val="0"/>
      <w:marRight w:val="0"/>
      <w:marTop w:val="0"/>
      <w:marBottom w:val="0"/>
      <w:divBdr>
        <w:top w:val="none" w:sz="0" w:space="0" w:color="auto"/>
        <w:left w:val="none" w:sz="0" w:space="0" w:color="auto"/>
        <w:bottom w:val="none" w:sz="0" w:space="0" w:color="auto"/>
        <w:right w:val="none" w:sz="0" w:space="0" w:color="auto"/>
      </w:divBdr>
    </w:div>
    <w:div w:id="1224951159">
      <w:bodyDiv w:val="1"/>
      <w:marLeft w:val="0"/>
      <w:marRight w:val="0"/>
      <w:marTop w:val="0"/>
      <w:marBottom w:val="0"/>
      <w:divBdr>
        <w:top w:val="none" w:sz="0" w:space="0" w:color="auto"/>
        <w:left w:val="none" w:sz="0" w:space="0" w:color="auto"/>
        <w:bottom w:val="none" w:sz="0" w:space="0" w:color="auto"/>
        <w:right w:val="none" w:sz="0" w:space="0" w:color="auto"/>
      </w:divBdr>
    </w:div>
    <w:div w:id="1320964894">
      <w:bodyDiv w:val="1"/>
      <w:marLeft w:val="0"/>
      <w:marRight w:val="0"/>
      <w:marTop w:val="0"/>
      <w:marBottom w:val="0"/>
      <w:divBdr>
        <w:top w:val="none" w:sz="0" w:space="0" w:color="auto"/>
        <w:left w:val="none" w:sz="0" w:space="0" w:color="auto"/>
        <w:bottom w:val="none" w:sz="0" w:space="0" w:color="auto"/>
        <w:right w:val="none" w:sz="0" w:space="0" w:color="auto"/>
      </w:divBdr>
    </w:div>
    <w:div w:id="1322006990">
      <w:bodyDiv w:val="1"/>
      <w:marLeft w:val="0"/>
      <w:marRight w:val="0"/>
      <w:marTop w:val="0"/>
      <w:marBottom w:val="0"/>
      <w:divBdr>
        <w:top w:val="none" w:sz="0" w:space="0" w:color="auto"/>
        <w:left w:val="none" w:sz="0" w:space="0" w:color="auto"/>
        <w:bottom w:val="none" w:sz="0" w:space="0" w:color="auto"/>
        <w:right w:val="none" w:sz="0" w:space="0" w:color="auto"/>
      </w:divBdr>
    </w:div>
    <w:div w:id="1789198688">
      <w:bodyDiv w:val="1"/>
      <w:marLeft w:val="0"/>
      <w:marRight w:val="0"/>
      <w:marTop w:val="0"/>
      <w:marBottom w:val="0"/>
      <w:divBdr>
        <w:top w:val="none" w:sz="0" w:space="0" w:color="auto"/>
        <w:left w:val="none" w:sz="0" w:space="0" w:color="auto"/>
        <w:bottom w:val="none" w:sz="0" w:space="0" w:color="auto"/>
        <w:right w:val="none" w:sz="0" w:space="0" w:color="auto"/>
      </w:divBdr>
    </w:div>
    <w:div w:id="1924874345">
      <w:bodyDiv w:val="1"/>
      <w:marLeft w:val="0"/>
      <w:marRight w:val="0"/>
      <w:marTop w:val="0"/>
      <w:marBottom w:val="0"/>
      <w:divBdr>
        <w:top w:val="none" w:sz="0" w:space="0" w:color="auto"/>
        <w:left w:val="none" w:sz="0" w:space="0" w:color="auto"/>
        <w:bottom w:val="none" w:sz="0" w:space="0" w:color="auto"/>
        <w:right w:val="none" w:sz="0" w:space="0" w:color="auto"/>
      </w:divBdr>
    </w:div>
    <w:div w:id="2020892458">
      <w:bodyDiv w:val="1"/>
      <w:marLeft w:val="0"/>
      <w:marRight w:val="0"/>
      <w:marTop w:val="0"/>
      <w:marBottom w:val="0"/>
      <w:divBdr>
        <w:top w:val="none" w:sz="0" w:space="0" w:color="auto"/>
        <w:left w:val="none" w:sz="0" w:space="0" w:color="auto"/>
        <w:bottom w:val="none" w:sz="0" w:space="0" w:color="auto"/>
        <w:right w:val="none" w:sz="0" w:space="0" w:color="auto"/>
      </w:divBdr>
    </w:div>
    <w:div w:id="203079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queenslandjudgments.com.au/caselaw/qca/2011/349/pdf" TargetMode="External"/><Relationship Id="rId2" Type="http://schemas.openxmlformats.org/officeDocument/2006/relationships/hyperlink" Target="https://eresources.hcourt.gov.au/downloadPdf/2016/HCA/24" TargetMode="External"/><Relationship Id="rId1" Type="http://schemas.openxmlformats.org/officeDocument/2006/relationships/hyperlink" Target="https://eresources.hcourt.gov.au/showbyHandle/1/9752" TargetMode="External"/><Relationship Id="rId6" Type="http://schemas.openxmlformats.org/officeDocument/2006/relationships/hyperlink" Target="https://cdpp.sharepoint.com/sites/LegalPolicyandPracticeImprovementLCP/Shared%20Documents/General/ELG%20Briefs/NLD%20Determining%20Jurisdiction%20November%202023/which%20includes%20an%20identified%20individual%20who%20has%20suffered%20harm%20as%20a%20direct%20result%20of%20an%20offence%20or%20offences%20committed,%20or%20apparently%20committed,%20against%20Commonwealth%20law%20or%20prosecuted%20by%20Commonwealth%20authorities.%20%20'Harm'%20includes%20physical%20or%20mental%20injury,%20pregnancy,%20emotional%20suffering%20or%20economic%20loss." TargetMode="External"/><Relationship Id="rId5" Type="http://schemas.openxmlformats.org/officeDocument/2006/relationships/hyperlink" Target="https://ecourts.justice.wa.gov.au/eCourtsPortal/Decisions/DownloadDecision/dacd1b62-eeb6-856c-4825-69a1001323af?unredactedVersion=False" TargetMode="External"/><Relationship Id="rId4" Type="http://schemas.openxmlformats.org/officeDocument/2006/relationships/hyperlink" Target="https://eresources.hcourt.gov.au/showbyHandle/1/892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NLD.dotx" TargetMode="External"/></Relationships>
</file>

<file path=word/theme/theme1.xml><?xml version="1.0" encoding="utf-8"?>
<a:theme xmlns:a="http://schemas.openxmlformats.org/drawingml/2006/main" name="Office Theme">
  <a:themeElements>
    <a:clrScheme name="CDPP">
      <a:dk1>
        <a:srgbClr val="010101"/>
      </a:dk1>
      <a:lt1>
        <a:srgbClr val="FFFFFF"/>
      </a:lt1>
      <a:dk2>
        <a:srgbClr val="445669"/>
      </a:dk2>
      <a:lt2>
        <a:srgbClr val="FFFFFF"/>
      </a:lt2>
      <a:accent1>
        <a:srgbClr val="0E374B"/>
      </a:accent1>
      <a:accent2>
        <a:srgbClr val="188A95"/>
      </a:accent2>
      <a:accent3>
        <a:srgbClr val="00B2DD"/>
      </a:accent3>
      <a:accent4>
        <a:srgbClr val="FFCB1B"/>
      </a:accent4>
      <a:accent5>
        <a:srgbClr val="F26524"/>
      </a:accent5>
      <a:accent6>
        <a:srgbClr val="808285"/>
      </a:accent6>
      <a:hlink>
        <a:srgbClr val="1E78A3"/>
      </a:hlink>
      <a:folHlink>
        <a:srgbClr val="F2652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87BFCE08AA2409986BCFD0F606DF9" ma:contentTypeVersion="12" ma:contentTypeDescription="Create a new document." ma:contentTypeScope="" ma:versionID="0767cf3abefc7677bb53f063cb61cd01">
  <xsd:schema xmlns:xsd="http://www.w3.org/2001/XMLSchema" xmlns:xs="http://www.w3.org/2001/XMLSchema" xmlns:p="http://schemas.microsoft.com/office/2006/metadata/properties" xmlns:ns2="84d1363b-9e8c-4029-9c49-bfff95ed38af" xmlns:ns3="8548b99f-e731-4b1f-ad8d-8066a06d98e5" targetNamespace="http://schemas.microsoft.com/office/2006/metadata/properties" ma:root="true" ma:fieldsID="3bd0f9e203f3b3dab6f5423904d3b3b9" ns2:_="" ns3:_="">
    <xsd:import namespace="84d1363b-9e8c-4029-9c49-bfff95ed38af"/>
    <xsd:import namespace="8548b99f-e731-4b1f-ad8d-8066a06d98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1363b-9e8c-4029-9c49-bfff95ed3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6109a8-d4f3-425c-b9f1-56702ea40d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8b99f-e731-4b1f-ad8d-8066a06d98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f4e0bff-9cc5-4e18-b493-97e46535b194}" ma:internalName="TaxCatchAll" ma:showField="CatchAllData" ma:web="8548b99f-e731-4b1f-ad8d-8066a06d9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d1363b-9e8c-4029-9c49-bfff95ed38af">
      <Terms xmlns="http://schemas.microsoft.com/office/infopath/2007/PartnerControls"/>
    </lcf76f155ced4ddcb4097134ff3c332f>
    <TaxCatchAll xmlns="8548b99f-e731-4b1f-ad8d-8066a06d98e5" xsi:nil="true"/>
  </documentManagement>
</p:properties>
</file>

<file path=customXml/itemProps1.xml><?xml version="1.0" encoding="utf-8"?>
<ds:datastoreItem xmlns:ds="http://schemas.openxmlformats.org/officeDocument/2006/customXml" ds:itemID="{704D904B-0EF4-4026-B360-C40D94A6096B}">
  <ds:schemaRefs>
    <ds:schemaRef ds:uri="http://schemas.openxmlformats.org/officeDocument/2006/bibliography"/>
  </ds:schemaRefs>
</ds:datastoreItem>
</file>

<file path=customXml/itemProps2.xml><?xml version="1.0" encoding="utf-8"?>
<ds:datastoreItem xmlns:ds="http://schemas.openxmlformats.org/officeDocument/2006/customXml" ds:itemID="{621C53BD-DFD0-4316-958F-C91A68BD6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1363b-9e8c-4029-9c49-bfff95ed38af"/>
    <ds:schemaRef ds:uri="8548b99f-e731-4b1f-ad8d-8066a06d9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FB602-4CCF-4DE3-B7F7-C0ED5C97752E}">
  <ds:schemaRefs>
    <ds:schemaRef ds:uri="http://schemas.microsoft.com/sharepoint/v3/contenttype/forms"/>
  </ds:schemaRefs>
</ds:datastoreItem>
</file>

<file path=customXml/itemProps4.xml><?xml version="1.0" encoding="utf-8"?>
<ds:datastoreItem xmlns:ds="http://schemas.openxmlformats.org/officeDocument/2006/customXml" ds:itemID="{C667932C-7CC5-40E9-BA4C-1E2C46FA2323}">
  <ds:schemaRefs>
    <ds:schemaRef ds:uri="84d1363b-9e8c-4029-9c49-bfff95ed38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48b99f-e731-4b1f-ad8d-8066a06d98e5"/>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NLD</Template>
  <TotalTime>1</TotalTime>
  <Pages>6</Pages>
  <Words>2069</Words>
  <Characters>11795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Links>
    <vt:vector size="126" baseType="variant">
      <vt:variant>
        <vt:i4>458758</vt:i4>
      </vt:variant>
      <vt:variant>
        <vt:i4>84</vt:i4>
      </vt:variant>
      <vt:variant>
        <vt:i4>0</vt:i4>
      </vt:variant>
      <vt:variant>
        <vt:i4>5</vt:i4>
      </vt:variant>
      <vt:variant>
        <vt:lpwstr>http://libcat.dppnet/firstRMS/fullRecord.jsp?recnoListAttr=recnoList&amp;recno=276041</vt:lpwstr>
      </vt:variant>
      <vt:variant>
        <vt:lpwstr/>
      </vt:variant>
      <vt:variant>
        <vt:i4>10</vt:i4>
      </vt:variant>
      <vt:variant>
        <vt:i4>81</vt:i4>
      </vt:variant>
      <vt:variant>
        <vt:i4>0</vt:i4>
      </vt:variant>
      <vt:variant>
        <vt:i4>5</vt:i4>
      </vt:variant>
      <vt:variant>
        <vt:lpwstr>http://libcat.dppnet/firstRMS/fullRecord.jsp?recno=272215</vt:lpwstr>
      </vt:variant>
      <vt:variant>
        <vt:lpwstr/>
      </vt:variant>
      <vt:variant>
        <vt:i4>458761</vt:i4>
      </vt:variant>
      <vt:variant>
        <vt:i4>78</vt:i4>
      </vt:variant>
      <vt:variant>
        <vt:i4>0</vt:i4>
      </vt:variant>
      <vt:variant>
        <vt:i4>5</vt:i4>
      </vt:variant>
      <vt:variant>
        <vt:lpwstr>http://libcat.dppnet/firstRMS/fullRecord.jsp?recno=273178</vt:lpwstr>
      </vt:variant>
      <vt:variant>
        <vt:lpwstr/>
      </vt:variant>
      <vt:variant>
        <vt:i4>1179698</vt:i4>
      </vt:variant>
      <vt:variant>
        <vt:i4>68</vt:i4>
      </vt:variant>
      <vt:variant>
        <vt:i4>0</vt:i4>
      </vt:variant>
      <vt:variant>
        <vt:i4>5</vt:i4>
      </vt:variant>
      <vt:variant>
        <vt:lpwstr/>
      </vt:variant>
      <vt:variant>
        <vt:lpwstr>_Toc163073704</vt:lpwstr>
      </vt:variant>
      <vt:variant>
        <vt:i4>1179698</vt:i4>
      </vt:variant>
      <vt:variant>
        <vt:i4>62</vt:i4>
      </vt:variant>
      <vt:variant>
        <vt:i4>0</vt:i4>
      </vt:variant>
      <vt:variant>
        <vt:i4>5</vt:i4>
      </vt:variant>
      <vt:variant>
        <vt:lpwstr/>
      </vt:variant>
      <vt:variant>
        <vt:lpwstr>_Toc163073703</vt:lpwstr>
      </vt:variant>
      <vt:variant>
        <vt:i4>1179698</vt:i4>
      </vt:variant>
      <vt:variant>
        <vt:i4>56</vt:i4>
      </vt:variant>
      <vt:variant>
        <vt:i4>0</vt:i4>
      </vt:variant>
      <vt:variant>
        <vt:i4>5</vt:i4>
      </vt:variant>
      <vt:variant>
        <vt:lpwstr/>
      </vt:variant>
      <vt:variant>
        <vt:lpwstr>_Toc163073702</vt:lpwstr>
      </vt:variant>
      <vt:variant>
        <vt:i4>1179698</vt:i4>
      </vt:variant>
      <vt:variant>
        <vt:i4>50</vt:i4>
      </vt:variant>
      <vt:variant>
        <vt:i4>0</vt:i4>
      </vt:variant>
      <vt:variant>
        <vt:i4>5</vt:i4>
      </vt:variant>
      <vt:variant>
        <vt:lpwstr/>
      </vt:variant>
      <vt:variant>
        <vt:lpwstr>_Toc163073701</vt:lpwstr>
      </vt:variant>
      <vt:variant>
        <vt:i4>1179698</vt:i4>
      </vt:variant>
      <vt:variant>
        <vt:i4>44</vt:i4>
      </vt:variant>
      <vt:variant>
        <vt:i4>0</vt:i4>
      </vt:variant>
      <vt:variant>
        <vt:i4>5</vt:i4>
      </vt:variant>
      <vt:variant>
        <vt:lpwstr/>
      </vt:variant>
      <vt:variant>
        <vt:lpwstr>_Toc163073700</vt:lpwstr>
      </vt:variant>
      <vt:variant>
        <vt:i4>1769523</vt:i4>
      </vt:variant>
      <vt:variant>
        <vt:i4>38</vt:i4>
      </vt:variant>
      <vt:variant>
        <vt:i4>0</vt:i4>
      </vt:variant>
      <vt:variant>
        <vt:i4>5</vt:i4>
      </vt:variant>
      <vt:variant>
        <vt:lpwstr/>
      </vt:variant>
      <vt:variant>
        <vt:lpwstr>_Toc163073699</vt:lpwstr>
      </vt:variant>
      <vt:variant>
        <vt:i4>1769523</vt:i4>
      </vt:variant>
      <vt:variant>
        <vt:i4>32</vt:i4>
      </vt:variant>
      <vt:variant>
        <vt:i4>0</vt:i4>
      </vt:variant>
      <vt:variant>
        <vt:i4>5</vt:i4>
      </vt:variant>
      <vt:variant>
        <vt:lpwstr/>
      </vt:variant>
      <vt:variant>
        <vt:lpwstr>_Toc163073698</vt:lpwstr>
      </vt:variant>
      <vt:variant>
        <vt:i4>1769523</vt:i4>
      </vt:variant>
      <vt:variant>
        <vt:i4>26</vt:i4>
      </vt:variant>
      <vt:variant>
        <vt:i4>0</vt:i4>
      </vt:variant>
      <vt:variant>
        <vt:i4>5</vt:i4>
      </vt:variant>
      <vt:variant>
        <vt:lpwstr/>
      </vt:variant>
      <vt:variant>
        <vt:lpwstr>_Toc163073697</vt:lpwstr>
      </vt:variant>
      <vt:variant>
        <vt:i4>1769523</vt:i4>
      </vt:variant>
      <vt:variant>
        <vt:i4>20</vt:i4>
      </vt:variant>
      <vt:variant>
        <vt:i4>0</vt:i4>
      </vt:variant>
      <vt:variant>
        <vt:i4>5</vt:i4>
      </vt:variant>
      <vt:variant>
        <vt:lpwstr/>
      </vt:variant>
      <vt:variant>
        <vt:lpwstr>_Toc163073696</vt:lpwstr>
      </vt:variant>
      <vt:variant>
        <vt:i4>1769523</vt:i4>
      </vt:variant>
      <vt:variant>
        <vt:i4>14</vt:i4>
      </vt:variant>
      <vt:variant>
        <vt:i4>0</vt:i4>
      </vt:variant>
      <vt:variant>
        <vt:i4>5</vt:i4>
      </vt:variant>
      <vt:variant>
        <vt:lpwstr/>
      </vt:variant>
      <vt:variant>
        <vt:lpwstr>_Toc163073695</vt:lpwstr>
      </vt:variant>
      <vt:variant>
        <vt:i4>1769523</vt:i4>
      </vt:variant>
      <vt:variant>
        <vt:i4>8</vt:i4>
      </vt:variant>
      <vt:variant>
        <vt:i4>0</vt:i4>
      </vt:variant>
      <vt:variant>
        <vt:i4>5</vt:i4>
      </vt:variant>
      <vt:variant>
        <vt:lpwstr/>
      </vt:variant>
      <vt:variant>
        <vt:lpwstr>_Toc163073694</vt:lpwstr>
      </vt:variant>
      <vt:variant>
        <vt:i4>1769523</vt:i4>
      </vt:variant>
      <vt:variant>
        <vt:i4>2</vt:i4>
      </vt:variant>
      <vt:variant>
        <vt:i4>0</vt:i4>
      </vt:variant>
      <vt:variant>
        <vt:i4>5</vt:i4>
      </vt:variant>
      <vt:variant>
        <vt:lpwstr/>
      </vt:variant>
      <vt:variant>
        <vt:lpwstr>_Toc163073693</vt:lpwstr>
      </vt:variant>
      <vt:variant>
        <vt:i4>6815860</vt:i4>
      </vt:variant>
      <vt:variant>
        <vt:i4>21</vt:i4>
      </vt:variant>
      <vt:variant>
        <vt:i4>0</vt:i4>
      </vt:variant>
      <vt:variant>
        <vt:i4>5</vt:i4>
      </vt:variant>
      <vt:variant>
        <vt:lpwstr>which includes an identified individual who has suffered harm as a direct result of an offence or offences committed, or apparently committed, against Commonwealth law or prosecuted by Commonwealth authorities.  'Harm' includes physical or mental injury, pregnancy, emotional suffering or economic loss.</vt:lpwstr>
      </vt:variant>
      <vt:variant>
        <vt:lpwstr/>
      </vt:variant>
      <vt:variant>
        <vt:i4>6422589</vt:i4>
      </vt:variant>
      <vt:variant>
        <vt:i4>15</vt:i4>
      </vt:variant>
      <vt:variant>
        <vt:i4>0</vt:i4>
      </vt:variant>
      <vt:variant>
        <vt:i4>5</vt:i4>
      </vt:variant>
      <vt:variant>
        <vt:lpwstr>https://ecourts.justice.wa.gov.au/eCourtsPortal/Decisions/DownloadDecision/dacd1b62-eeb6-856c-4825-69a1001323af?unredactedVersion=False</vt:lpwstr>
      </vt:variant>
      <vt:variant>
        <vt:lpwstr/>
      </vt:variant>
      <vt:variant>
        <vt:i4>65558</vt:i4>
      </vt:variant>
      <vt:variant>
        <vt:i4>12</vt:i4>
      </vt:variant>
      <vt:variant>
        <vt:i4>0</vt:i4>
      </vt:variant>
      <vt:variant>
        <vt:i4>5</vt:i4>
      </vt:variant>
      <vt:variant>
        <vt:lpwstr>https://eresources.hcourt.gov.au/showbyHandle/1/8926</vt:lpwstr>
      </vt:variant>
      <vt:variant>
        <vt:lpwstr/>
      </vt:variant>
      <vt:variant>
        <vt:i4>8323195</vt:i4>
      </vt:variant>
      <vt:variant>
        <vt:i4>6</vt:i4>
      </vt:variant>
      <vt:variant>
        <vt:i4>0</vt:i4>
      </vt:variant>
      <vt:variant>
        <vt:i4>5</vt:i4>
      </vt:variant>
      <vt:variant>
        <vt:lpwstr>https://www.queenslandjudgments.com.au/caselaw/qca/2011/349/pdf</vt:lpwstr>
      </vt:variant>
      <vt:variant>
        <vt:lpwstr/>
      </vt:variant>
      <vt:variant>
        <vt:i4>4587607</vt:i4>
      </vt:variant>
      <vt:variant>
        <vt:i4>3</vt:i4>
      </vt:variant>
      <vt:variant>
        <vt:i4>0</vt:i4>
      </vt:variant>
      <vt:variant>
        <vt:i4>5</vt:i4>
      </vt:variant>
      <vt:variant>
        <vt:lpwstr>https://eresources.hcourt.gov.au/downloadPdf/2016/HCA/24</vt:lpwstr>
      </vt:variant>
      <vt:variant>
        <vt:lpwstr/>
      </vt:variant>
      <vt:variant>
        <vt:i4>720912</vt:i4>
      </vt:variant>
      <vt:variant>
        <vt:i4>0</vt:i4>
      </vt:variant>
      <vt:variant>
        <vt:i4>0</vt:i4>
      </vt:variant>
      <vt:variant>
        <vt:i4>5</vt:i4>
      </vt:variant>
      <vt:variant>
        <vt:lpwstr>https://eresources.hcourt.gov.au/showbyHandle/1/9752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Emmett Jon</dc:creator>
  <cp:keywords/>
  <dc:description>NLD</dc:description>
  <cp:lastModifiedBy>Power Jade</cp:lastModifiedBy>
  <cp:revision>2</cp:revision>
  <dcterms:created xsi:type="dcterms:W3CDTF">2024-05-23T04:11:00Z</dcterms:created>
  <dcterms:modified xsi:type="dcterms:W3CDTF">2024-05-23T04:11:00Z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0x010100D6B87BFCE08AA2409986BCFD0F606DF9</vt:lpwstr>
  </property>
  <property fmtid="{D5CDD505-2E9C-101B-9397-08002B2CF9AE}" pid="3" name="MediaServiceImageTags">
    <vt:lpwstr/>
  </property>
</Properties>
</file>