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E599" w14:textId="04121F12" w:rsidR="00DF11DB" w:rsidRPr="008B23B2" w:rsidRDefault="00AF4DD2" w:rsidP="00D753DA">
      <w:pPr>
        <w:pStyle w:val="Title"/>
        <w:spacing w:before="300"/>
      </w:pPr>
      <w:r w:rsidRPr="006A44C1">
        <w:rPr>
          <w:noProof/>
        </w:rPr>
        <w:drawing>
          <wp:anchor distT="0" distB="0" distL="114300" distR="114300" simplePos="0" relativeHeight="251659264" behindDoc="1" locked="1" layoutInCell="1" allowOverlap="1" wp14:anchorId="00B787E0" wp14:editId="7F35F887">
            <wp:simplePos x="0" y="0"/>
            <wp:positionH relativeFrom="page">
              <wp:posOffset>116205</wp:posOffset>
            </wp:positionH>
            <wp:positionV relativeFrom="page">
              <wp:posOffset>98425</wp:posOffset>
            </wp:positionV>
            <wp:extent cx="7380000" cy="128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647" b="647"/>
                    <a:stretch>
                      <a:fillRect/>
                    </a:stretch>
                  </pic:blipFill>
                  <pic:spPr bwMode="auto">
                    <a:xfrm>
                      <a:off x="0" y="0"/>
                      <a:ext cx="7380000" cy="128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40F1">
        <w:t>Unfitness to be tried/to plead</w:t>
      </w:r>
    </w:p>
    <w:p w14:paraId="3D5F167B" w14:textId="40D9D6C4" w:rsidR="002B62F1" w:rsidRDefault="00DF11DB" w:rsidP="00DF11DB">
      <w:r>
        <w:t xml:space="preserve">Last Update: </w:t>
      </w:r>
      <w:r w:rsidR="009F40F1">
        <w:t>October 2023</w:t>
      </w:r>
    </w:p>
    <w:sdt>
      <w:sdtPr>
        <w:rPr>
          <w:rFonts w:asciiTheme="minorHAnsi" w:eastAsiaTheme="minorHAnsi" w:hAnsiTheme="minorHAnsi" w:cstheme="minorBidi"/>
          <w:b w:val="0"/>
          <w:caps w:val="0"/>
          <w:color w:val="auto"/>
          <w:szCs w:val="22"/>
          <w:lang w:val="en-AU"/>
        </w:rPr>
        <w:id w:val="-1906217807"/>
        <w:docPartObj>
          <w:docPartGallery w:val="Table of Contents"/>
          <w:docPartUnique/>
        </w:docPartObj>
      </w:sdtPr>
      <w:sdtEndPr>
        <w:rPr>
          <w:bCs/>
          <w:noProof/>
        </w:rPr>
      </w:sdtEndPr>
      <w:sdtContent>
        <w:p w14:paraId="39E4B7A5" w14:textId="0AF07E7A" w:rsidR="00E34801" w:rsidRPr="00622B56" w:rsidRDefault="00E34801">
          <w:pPr>
            <w:pStyle w:val="TOCHeading"/>
            <w:rPr>
              <w:color w:val="auto"/>
            </w:rPr>
          </w:pPr>
          <w:r w:rsidRPr="00622B56">
            <w:rPr>
              <w:color w:val="auto"/>
            </w:rPr>
            <w:t>Contents</w:t>
          </w:r>
        </w:p>
        <w:p w14:paraId="69AD161E" w14:textId="43F15E68" w:rsidR="0083174B" w:rsidRDefault="00622B56">
          <w:pPr>
            <w:pStyle w:val="TOC1"/>
            <w:tabs>
              <w:tab w:val="left" w:pos="440"/>
              <w:tab w:val="right" w:leader="underscore" w:pos="9911"/>
            </w:tabs>
            <w:rPr>
              <w:rFonts w:eastAsiaTheme="minorEastAsia" w:cstheme="minorBidi"/>
              <w:b w:val="0"/>
              <w:bCs w:val="0"/>
              <w:i w:val="0"/>
              <w:iCs w:val="0"/>
              <w:noProof/>
              <w:sz w:val="22"/>
              <w:szCs w:val="22"/>
              <w:lang w:eastAsia="en-AU"/>
            </w:rPr>
          </w:pPr>
          <w:r>
            <w:rPr>
              <w:i w:val="0"/>
              <w:iCs w:val="0"/>
            </w:rPr>
            <w:fldChar w:fldCharType="begin"/>
          </w:r>
          <w:r>
            <w:rPr>
              <w:i w:val="0"/>
              <w:iCs w:val="0"/>
            </w:rPr>
            <w:instrText xml:space="preserve"> TOC \o "1-3" \h \z \u </w:instrText>
          </w:r>
          <w:r>
            <w:rPr>
              <w:i w:val="0"/>
              <w:iCs w:val="0"/>
            </w:rPr>
            <w:fldChar w:fldCharType="separate"/>
          </w:r>
          <w:hyperlink w:anchor="_Toc147931067" w:history="1">
            <w:r w:rsidR="0083174B" w:rsidRPr="00994E51">
              <w:rPr>
                <w:rStyle w:val="Hyperlink"/>
                <w:noProof/>
              </w:rPr>
              <w:t>A.</w:t>
            </w:r>
            <w:r w:rsidR="0083174B">
              <w:rPr>
                <w:rFonts w:eastAsiaTheme="minorEastAsia" w:cstheme="minorBidi"/>
                <w:b w:val="0"/>
                <w:bCs w:val="0"/>
                <w:i w:val="0"/>
                <w:iCs w:val="0"/>
                <w:noProof/>
                <w:sz w:val="22"/>
                <w:szCs w:val="22"/>
                <w:lang w:eastAsia="en-AU"/>
              </w:rPr>
              <w:tab/>
            </w:r>
            <w:r w:rsidR="0083174B" w:rsidRPr="00994E51">
              <w:rPr>
                <w:rStyle w:val="Hyperlink"/>
                <w:noProof/>
              </w:rPr>
              <w:t>Introduction</w:t>
            </w:r>
            <w:r w:rsidR="0083174B">
              <w:rPr>
                <w:noProof/>
                <w:webHidden/>
              </w:rPr>
              <w:tab/>
            </w:r>
            <w:r w:rsidR="0083174B">
              <w:rPr>
                <w:noProof/>
                <w:webHidden/>
              </w:rPr>
              <w:fldChar w:fldCharType="begin"/>
            </w:r>
            <w:r w:rsidR="0083174B">
              <w:rPr>
                <w:noProof/>
                <w:webHidden/>
              </w:rPr>
              <w:instrText xml:space="preserve"> PAGEREF _Toc147931067 \h </w:instrText>
            </w:r>
            <w:r w:rsidR="0083174B">
              <w:rPr>
                <w:noProof/>
                <w:webHidden/>
              </w:rPr>
            </w:r>
            <w:r w:rsidR="0083174B">
              <w:rPr>
                <w:noProof/>
                <w:webHidden/>
              </w:rPr>
              <w:fldChar w:fldCharType="separate"/>
            </w:r>
            <w:r w:rsidR="00C03C45">
              <w:rPr>
                <w:noProof/>
                <w:webHidden/>
              </w:rPr>
              <w:t>1</w:t>
            </w:r>
            <w:r w:rsidR="0083174B">
              <w:rPr>
                <w:noProof/>
                <w:webHidden/>
              </w:rPr>
              <w:fldChar w:fldCharType="end"/>
            </w:r>
          </w:hyperlink>
        </w:p>
        <w:p w14:paraId="30366127" w14:textId="6C4E1054" w:rsidR="0083174B" w:rsidRDefault="00000000">
          <w:pPr>
            <w:pStyle w:val="TOC1"/>
            <w:tabs>
              <w:tab w:val="left" w:pos="440"/>
              <w:tab w:val="right" w:leader="underscore" w:pos="9911"/>
            </w:tabs>
            <w:rPr>
              <w:rFonts w:eastAsiaTheme="minorEastAsia" w:cstheme="minorBidi"/>
              <w:b w:val="0"/>
              <w:bCs w:val="0"/>
              <w:i w:val="0"/>
              <w:iCs w:val="0"/>
              <w:noProof/>
              <w:sz w:val="22"/>
              <w:szCs w:val="22"/>
              <w:lang w:eastAsia="en-AU"/>
            </w:rPr>
          </w:pPr>
          <w:hyperlink w:anchor="_Toc147931068" w:history="1">
            <w:r w:rsidR="0083174B" w:rsidRPr="00994E51">
              <w:rPr>
                <w:rStyle w:val="Hyperlink"/>
                <w:noProof/>
              </w:rPr>
              <w:t>B.</w:t>
            </w:r>
            <w:r w:rsidR="0083174B">
              <w:rPr>
                <w:rFonts w:eastAsiaTheme="minorEastAsia" w:cstheme="minorBidi"/>
                <w:b w:val="0"/>
                <w:bCs w:val="0"/>
                <w:i w:val="0"/>
                <w:iCs w:val="0"/>
                <w:noProof/>
                <w:sz w:val="22"/>
                <w:szCs w:val="22"/>
                <w:lang w:eastAsia="en-AU"/>
              </w:rPr>
              <w:tab/>
            </w:r>
            <w:r w:rsidR="0083174B" w:rsidRPr="00994E51">
              <w:rPr>
                <w:rStyle w:val="Hyperlink"/>
                <w:noProof/>
              </w:rPr>
              <w:t>Unfitness to be tried: Section 20B of the Crimes Act – Matters to be heard on indictment</w:t>
            </w:r>
            <w:r w:rsidR="0083174B">
              <w:rPr>
                <w:noProof/>
                <w:webHidden/>
              </w:rPr>
              <w:tab/>
            </w:r>
            <w:r w:rsidR="0083174B">
              <w:rPr>
                <w:noProof/>
                <w:webHidden/>
              </w:rPr>
              <w:fldChar w:fldCharType="begin"/>
            </w:r>
            <w:r w:rsidR="0083174B">
              <w:rPr>
                <w:noProof/>
                <w:webHidden/>
              </w:rPr>
              <w:instrText xml:space="preserve"> PAGEREF _Toc147931068 \h </w:instrText>
            </w:r>
            <w:r w:rsidR="0083174B">
              <w:rPr>
                <w:noProof/>
                <w:webHidden/>
              </w:rPr>
            </w:r>
            <w:r w:rsidR="0083174B">
              <w:rPr>
                <w:noProof/>
                <w:webHidden/>
              </w:rPr>
              <w:fldChar w:fldCharType="separate"/>
            </w:r>
            <w:r w:rsidR="00C03C45">
              <w:rPr>
                <w:noProof/>
                <w:webHidden/>
              </w:rPr>
              <w:t>2</w:t>
            </w:r>
            <w:r w:rsidR="0083174B">
              <w:rPr>
                <w:noProof/>
                <w:webHidden/>
              </w:rPr>
              <w:fldChar w:fldCharType="end"/>
            </w:r>
          </w:hyperlink>
        </w:p>
        <w:p w14:paraId="3139F05B" w14:textId="299F5209" w:rsidR="0083174B" w:rsidRDefault="00000000">
          <w:pPr>
            <w:pStyle w:val="TOC2"/>
            <w:tabs>
              <w:tab w:val="right" w:leader="underscore" w:pos="9911"/>
            </w:tabs>
            <w:rPr>
              <w:rFonts w:eastAsiaTheme="minorEastAsia" w:cstheme="minorBidi"/>
              <w:b w:val="0"/>
              <w:bCs w:val="0"/>
              <w:noProof/>
              <w:lang w:eastAsia="en-AU"/>
            </w:rPr>
          </w:pPr>
          <w:hyperlink w:anchor="_Toc147931069" w:history="1">
            <w:r w:rsidR="0083174B" w:rsidRPr="00994E51">
              <w:rPr>
                <w:rStyle w:val="Hyperlink"/>
                <w:noProof/>
              </w:rPr>
              <w:t>Stage at which the question of fitness is raised</w:t>
            </w:r>
            <w:r w:rsidR="0083174B">
              <w:rPr>
                <w:noProof/>
                <w:webHidden/>
              </w:rPr>
              <w:tab/>
            </w:r>
            <w:r w:rsidR="0083174B">
              <w:rPr>
                <w:noProof/>
                <w:webHidden/>
              </w:rPr>
              <w:fldChar w:fldCharType="begin"/>
            </w:r>
            <w:r w:rsidR="0083174B">
              <w:rPr>
                <w:noProof/>
                <w:webHidden/>
              </w:rPr>
              <w:instrText xml:space="preserve"> PAGEREF _Toc147931069 \h </w:instrText>
            </w:r>
            <w:r w:rsidR="0083174B">
              <w:rPr>
                <w:noProof/>
                <w:webHidden/>
              </w:rPr>
            </w:r>
            <w:r w:rsidR="0083174B">
              <w:rPr>
                <w:noProof/>
                <w:webHidden/>
              </w:rPr>
              <w:fldChar w:fldCharType="separate"/>
            </w:r>
            <w:r w:rsidR="00C03C45">
              <w:rPr>
                <w:noProof/>
                <w:webHidden/>
              </w:rPr>
              <w:t>3</w:t>
            </w:r>
            <w:r w:rsidR="0083174B">
              <w:rPr>
                <w:noProof/>
                <w:webHidden/>
              </w:rPr>
              <w:fldChar w:fldCharType="end"/>
            </w:r>
          </w:hyperlink>
        </w:p>
        <w:p w14:paraId="16C6AF13" w14:textId="27879C81" w:rsidR="0083174B" w:rsidRDefault="00000000">
          <w:pPr>
            <w:pStyle w:val="TOC2"/>
            <w:tabs>
              <w:tab w:val="right" w:leader="underscore" w:pos="9911"/>
            </w:tabs>
            <w:rPr>
              <w:rFonts w:eastAsiaTheme="minorEastAsia" w:cstheme="minorBidi"/>
              <w:b w:val="0"/>
              <w:bCs w:val="0"/>
              <w:noProof/>
              <w:lang w:eastAsia="en-AU"/>
            </w:rPr>
          </w:pPr>
          <w:hyperlink w:anchor="_Toc147931070" w:history="1">
            <w:r w:rsidR="0083174B" w:rsidRPr="00994E51">
              <w:rPr>
                <w:rStyle w:val="Hyperlink"/>
                <w:noProof/>
              </w:rPr>
              <w:t>Procedure where fitness to be tried is raised at the committal stage</w:t>
            </w:r>
            <w:r w:rsidR="0083174B">
              <w:rPr>
                <w:noProof/>
                <w:webHidden/>
              </w:rPr>
              <w:tab/>
            </w:r>
            <w:r w:rsidR="0083174B">
              <w:rPr>
                <w:noProof/>
                <w:webHidden/>
              </w:rPr>
              <w:fldChar w:fldCharType="begin"/>
            </w:r>
            <w:r w:rsidR="0083174B">
              <w:rPr>
                <w:noProof/>
                <w:webHidden/>
              </w:rPr>
              <w:instrText xml:space="preserve"> PAGEREF _Toc147931070 \h </w:instrText>
            </w:r>
            <w:r w:rsidR="0083174B">
              <w:rPr>
                <w:noProof/>
                <w:webHidden/>
              </w:rPr>
            </w:r>
            <w:r w:rsidR="0083174B">
              <w:rPr>
                <w:noProof/>
                <w:webHidden/>
              </w:rPr>
              <w:fldChar w:fldCharType="separate"/>
            </w:r>
            <w:r w:rsidR="00C03C45">
              <w:rPr>
                <w:noProof/>
                <w:webHidden/>
              </w:rPr>
              <w:t>3</w:t>
            </w:r>
            <w:r w:rsidR="0083174B">
              <w:rPr>
                <w:noProof/>
                <w:webHidden/>
              </w:rPr>
              <w:fldChar w:fldCharType="end"/>
            </w:r>
          </w:hyperlink>
        </w:p>
        <w:p w14:paraId="5F372179" w14:textId="6566D415" w:rsidR="0083174B" w:rsidRDefault="00000000">
          <w:pPr>
            <w:pStyle w:val="TOC2"/>
            <w:tabs>
              <w:tab w:val="right" w:leader="underscore" w:pos="9911"/>
            </w:tabs>
            <w:rPr>
              <w:rFonts w:eastAsiaTheme="minorEastAsia" w:cstheme="minorBidi"/>
              <w:b w:val="0"/>
              <w:bCs w:val="0"/>
              <w:noProof/>
              <w:lang w:eastAsia="en-AU"/>
            </w:rPr>
          </w:pPr>
          <w:hyperlink w:anchor="_Toc147931071" w:history="1">
            <w:r w:rsidR="0083174B" w:rsidRPr="00994E51">
              <w:rPr>
                <w:rStyle w:val="Hyperlink"/>
                <w:noProof/>
              </w:rPr>
              <w:t>Procedure where fitness to be tried is raised post-committal</w:t>
            </w:r>
            <w:r w:rsidR="0083174B">
              <w:rPr>
                <w:noProof/>
                <w:webHidden/>
              </w:rPr>
              <w:tab/>
            </w:r>
            <w:r w:rsidR="0083174B">
              <w:rPr>
                <w:noProof/>
                <w:webHidden/>
              </w:rPr>
              <w:fldChar w:fldCharType="begin"/>
            </w:r>
            <w:r w:rsidR="0083174B">
              <w:rPr>
                <w:noProof/>
                <w:webHidden/>
              </w:rPr>
              <w:instrText xml:space="preserve"> PAGEREF _Toc147931071 \h </w:instrText>
            </w:r>
            <w:r w:rsidR="0083174B">
              <w:rPr>
                <w:noProof/>
                <w:webHidden/>
              </w:rPr>
            </w:r>
            <w:r w:rsidR="0083174B">
              <w:rPr>
                <w:noProof/>
                <w:webHidden/>
              </w:rPr>
              <w:fldChar w:fldCharType="separate"/>
            </w:r>
            <w:r w:rsidR="00C03C45">
              <w:rPr>
                <w:noProof/>
                <w:webHidden/>
              </w:rPr>
              <w:t>4</w:t>
            </w:r>
            <w:r w:rsidR="0083174B">
              <w:rPr>
                <w:noProof/>
                <w:webHidden/>
              </w:rPr>
              <w:fldChar w:fldCharType="end"/>
            </w:r>
          </w:hyperlink>
        </w:p>
        <w:p w14:paraId="610C1A4A" w14:textId="72785851" w:rsidR="0083174B" w:rsidRDefault="00000000">
          <w:pPr>
            <w:pStyle w:val="TOC3"/>
            <w:tabs>
              <w:tab w:val="right" w:leader="underscore" w:pos="9911"/>
            </w:tabs>
            <w:rPr>
              <w:rFonts w:eastAsiaTheme="minorEastAsia" w:cstheme="minorBidi"/>
              <w:noProof/>
              <w:sz w:val="22"/>
              <w:szCs w:val="22"/>
              <w:lang w:eastAsia="en-AU"/>
            </w:rPr>
          </w:pPr>
          <w:hyperlink w:anchor="_Toc147931072" w:history="1">
            <w:r w:rsidR="0083174B" w:rsidRPr="00994E51">
              <w:rPr>
                <w:rStyle w:val="Hyperlink"/>
                <w:noProof/>
              </w:rPr>
              <w:t>Threshold test</w:t>
            </w:r>
            <w:r w:rsidR="0083174B">
              <w:rPr>
                <w:noProof/>
                <w:webHidden/>
              </w:rPr>
              <w:tab/>
            </w:r>
            <w:r w:rsidR="0083174B">
              <w:rPr>
                <w:noProof/>
                <w:webHidden/>
              </w:rPr>
              <w:fldChar w:fldCharType="begin"/>
            </w:r>
            <w:r w:rsidR="0083174B">
              <w:rPr>
                <w:noProof/>
                <w:webHidden/>
              </w:rPr>
              <w:instrText xml:space="preserve"> PAGEREF _Toc147931072 \h </w:instrText>
            </w:r>
            <w:r w:rsidR="0083174B">
              <w:rPr>
                <w:noProof/>
                <w:webHidden/>
              </w:rPr>
            </w:r>
            <w:r w:rsidR="0083174B">
              <w:rPr>
                <w:noProof/>
                <w:webHidden/>
              </w:rPr>
              <w:fldChar w:fldCharType="separate"/>
            </w:r>
            <w:r w:rsidR="00C03C45">
              <w:rPr>
                <w:noProof/>
                <w:webHidden/>
              </w:rPr>
              <w:t>4</w:t>
            </w:r>
            <w:r w:rsidR="0083174B">
              <w:rPr>
                <w:noProof/>
                <w:webHidden/>
              </w:rPr>
              <w:fldChar w:fldCharType="end"/>
            </w:r>
          </w:hyperlink>
        </w:p>
        <w:p w14:paraId="285961F9" w14:textId="247282A7" w:rsidR="0083174B" w:rsidRDefault="00000000">
          <w:pPr>
            <w:pStyle w:val="TOC3"/>
            <w:tabs>
              <w:tab w:val="right" w:leader="underscore" w:pos="9911"/>
            </w:tabs>
            <w:rPr>
              <w:rFonts w:eastAsiaTheme="minorEastAsia" w:cstheme="minorBidi"/>
              <w:noProof/>
              <w:sz w:val="22"/>
              <w:szCs w:val="22"/>
              <w:lang w:eastAsia="en-AU"/>
            </w:rPr>
          </w:pPr>
          <w:hyperlink w:anchor="_Toc147931073" w:history="1">
            <w:r w:rsidR="0083174B" w:rsidRPr="00994E51">
              <w:rPr>
                <w:rStyle w:val="Hyperlink"/>
                <w:noProof/>
              </w:rPr>
              <w:t>Subsequent fitness hearing</w:t>
            </w:r>
            <w:r w:rsidR="0083174B">
              <w:rPr>
                <w:noProof/>
                <w:webHidden/>
              </w:rPr>
              <w:tab/>
            </w:r>
            <w:r w:rsidR="0083174B">
              <w:rPr>
                <w:noProof/>
                <w:webHidden/>
              </w:rPr>
              <w:fldChar w:fldCharType="begin"/>
            </w:r>
            <w:r w:rsidR="0083174B">
              <w:rPr>
                <w:noProof/>
                <w:webHidden/>
              </w:rPr>
              <w:instrText xml:space="preserve"> PAGEREF _Toc147931073 \h </w:instrText>
            </w:r>
            <w:r w:rsidR="0083174B">
              <w:rPr>
                <w:noProof/>
                <w:webHidden/>
              </w:rPr>
            </w:r>
            <w:r w:rsidR="0083174B">
              <w:rPr>
                <w:noProof/>
                <w:webHidden/>
              </w:rPr>
              <w:fldChar w:fldCharType="separate"/>
            </w:r>
            <w:r w:rsidR="00C03C45">
              <w:rPr>
                <w:noProof/>
                <w:webHidden/>
              </w:rPr>
              <w:t>4</w:t>
            </w:r>
            <w:r w:rsidR="0083174B">
              <w:rPr>
                <w:noProof/>
                <w:webHidden/>
              </w:rPr>
              <w:fldChar w:fldCharType="end"/>
            </w:r>
          </w:hyperlink>
        </w:p>
        <w:p w14:paraId="0810662D" w14:textId="75C5DDD5" w:rsidR="0083174B" w:rsidRDefault="00000000">
          <w:pPr>
            <w:pStyle w:val="TOC2"/>
            <w:tabs>
              <w:tab w:val="right" w:leader="underscore" w:pos="9911"/>
            </w:tabs>
            <w:rPr>
              <w:rFonts w:eastAsiaTheme="minorEastAsia" w:cstheme="minorBidi"/>
              <w:b w:val="0"/>
              <w:bCs w:val="0"/>
              <w:noProof/>
              <w:lang w:eastAsia="en-AU"/>
            </w:rPr>
          </w:pPr>
          <w:hyperlink w:anchor="_Toc147931074" w:history="1">
            <w:r w:rsidR="0083174B" w:rsidRPr="00994E51">
              <w:rPr>
                <w:rStyle w:val="Hyperlink"/>
                <w:noProof/>
              </w:rPr>
              <w:t>The meaning of ‘to be tried’</w:t>
            </w:r>
            <w:r w:rsidR="0083174B">
              <w:rPr>
                <w:noProof/>
                <w:webHidden/>
              </w:rPr>
              <w:tab/>
            </w:r>
            <w:r w:rsidR="0083174B">
              <w:rPr>
                <w:noProof/>
                <w:webHidden/>
              </w:rPr>
              <w:fldChar w:fldCharType="begin"/>
            </w:r>
            <w:r w:rsidR="0083174B">
              <w:rPr>
                <w:noProof/>
                <w:webHidden/>
              </w:rPr>
              <w:instrText xml:space="preserve"> PAGEREF _Toc147931074 \h </w:instrText>
            </w:r>
            <w:r w:rsidR="0083174B">
              <w:rPr>
                <w:noProof/>
                <w:webHidden/>
              </w:rPr>
            </w:r>
            <w:r w:rsidR="0083174B">
              <w:rPr>
                <w:noProof/>
                <w:webHidden/>
              </w:rPr>
              <w:fldChar w:fldCharType="separate"/>
            </w:r>
            <w:r w:rsidR="00C03C45">
              <w:rPr>
                <w:noProof/>
                <w:webHidden/>
              </w:rPr>
              <w:t>4</w:t>
            </w:r>
            <w:r w:rsidR="0083174B">
              <w:rPr>
                <w:noProof/>
                <w:webHidden/>
              </w:rPr>
              <w:fldChar w:fldCharType="end"/>
            </w:r>
          </w:hyperlink>
        </w:p>
        <w:p w14:paraId="782C8238" w14:textId="32019637" w:rsidR="0083174B" w:rsidRDefault="00000000">
          <w:pPr>
            <w:pStyle w:val="TOC2"/>
            <w:tabs>
              <w:tab w:val="right" w:leader="underscore" w:pos="9911"/>
            </w:tabs>
            <w:rPr>
              <w:rFonts w:eastAsiaTheme="minorEastAsia" w:cstheme="minorBidi"/>
              <w:b w:val="0"/>
              <w:bCs w:val="0"/>
              <w:noProof/>
              <w:lang w:eastAsia="en-AU"/>
            </w:rPr>
          </w:pPr>
          <w:hyperlink w:anchor="_Toc147931075" w:history="1">
            <w:r w:rsidR="0083174B" w:rsidRPr="00994E51">
              <w:rPr>
                <w:rStyle w:val="Hyperlink"/>
                <w:noProof/>
              </w:rPr>
              <w:t>Expert evidence</w:t>
            </w:r>
            <w:r w:rsidR="0083174B">
              <w:rPr>
                <w:noProof/>
                <w:webHidden/>
              </w:rPr>
              <w:tab/>
            </w:r>
            <w:r w:rsidR="0083174B">
              <w:rPr>
                <w:noProof/>
                <w:webHidden/>
              </w:rPr>
              <w:fldChar w:fldCharType="begin"/>
            </w:r>
            <w:r w:rsidR="0083174B">
              <w:rPr>
                <w:noProof/>
                <w:webHidden/>
              </w:rPr>
              <w:instrText xml:space="preserve"> PAGEREF _Toc147931075 \h </w:instrText>
            </w:r>
            <w:r w:rsidR="0083174B">
              <w:rPr>
                <w:noProof/>
                <w:webHidden/>
              </w:rPr>
            </w:r>
            <w:r w:rsidR="0083174B">
              <w:rPr>
                <w:noProof/>
                <w:webHidden/>
              </w:rPr>
              <w:fldChar w:fldCharType="separate"/>
            </w:r>
            <w:r w:rsidR="00C03C45">
              <w:rPr>
                <w:noProof/>
                <w:webHidden/>
              </w:rPr>
              <w:t>5</w:t>
            </w:r>
            <w:r w:rsidR="0083174B">
              <w:rPr>
                <w:noProof/>
                <w:webHidden/>
              </w:rPr>
              <w:fldChar w:fldCharType="end"/>
            </w:r>
          </w:hyperlink>
        </w:p>
        <w:p w14:paraId="5E8C8F2F" w14:textId="7910F698" w:rsidR="0083174B" w:rsidRDefault="00000000">
          <w:pPr>
            <w:pStyle w:val="TOC2"/>
            <w:tabs>
              <w:tab w:val="right" w:leader="underscore" w:pos="9911"/>
            </w:tabs>
            <w:rPr>
              <w:rFonts w:eastAsiaTheme="minorEastAsia" w:cstheme="minorBidi"/>
              <w:b w:val="0"/>
              <w:bCs w:val="0"/>
              <w:noProof/>
              <w:lang w:eastAsia="en-AU"/>
            </w:rPr>
          </w:pPr>
          <w:hyperlink w:anchor="_Toc147931076" w:history="1">
            <w:r w:rsidR="0083174B" w:rsidRPr="00994E51">
              <w:rPr>
                <w:rStyle w:val="Hyperlink"/>
                <w:noProof/>
              </w:rPr>
              <w:t>Onus of proof and standard of proof</w:t>
            </w:r>
            <w:r w:rsidR="0083174B">
              <w:rPr>
                <w:noProof/>
                <w:webHidden/>
              </w:rPr>
              <w:tab/>
            </w:r>
            <w:r w:rsidR="0083174B">
              <w:rPr>
                <w:noProof/>
                <w:webHidden/>
              </w:rPr>
              <w:fldChar w:fldCharType="begin"/>
            </w:r>
            <w:r w:rsidR="0083174B">
              <w:rPr>
                <w:noProof/>
                <w:webHidden/>
              </w:rPr>
              <w:instrText xml:space="preserve"> PAGEREF _Toc147931076 \h </w:instrText>
            </w:r>
            <w:r w:rsidR="0083174B">
              <w:rPr>
                <w:noProof/>
                <w:webHidden/>
              </w:rPr>
            </w:r>
            <w:r w:rsidR="0083174B">
              <w:rPr>
                <w:noProof/>
                <w:webHidden/>
              </w:rPr>
              <w:fldChar w:fldCharType="separate"/>
            </w:r>
            <w:r w:rsidR="00C03C45">
              <w:rPr>
                <w:noProof/>
                <w:webHidden/>
              </w:rPr>
              <w:t>5</w:t>
            </w:r>
            <w:r w:rsidR="0083174B">
              <w:rPr>
                <w:noProof/>
                <w:webHidden/>
              </w:rPr>
              <w:fldChar w:fldCharType="end"/>
            </w:r>
          </w:hyperlink>
        </w:p>
        <w:p w14:paraId="515DED31" w14:textId="7A8B834C" w:rsidR="0083174B" w:rsidRDefault="00000000">
          <w:pPr>
            <w:pStyle w:val="TOC2"/>
            <w:tabs>
              <w:tab w:val="right" w:leader="underscore" w:pos="9911"/>
            </w:tabs>
            <w:rPr>
              <w:rFonts w:eastAsiaTheme="minorEastAsia" w:cstheme="minorBidi"/>
              <w:b w:val="0"/>
              <w:bCs w:val="0"/>
              <w:noProof/>
              <w:lang w:eastAsia="en-AU"/>
            </w:rPr>
          </w:pPr>
          <w:hyperlink w:anchor="_Toc147931077" w:history="1">
            <w:r w:rsidR="0083174B" w:rsidRPr="00994E51">
              <w:rPr>
                <w:rStyle w:val="Hyperlink"/>
                <w:noProof/>
              </w:rPr>
              <w:t>Federal procedure following a finding of fitness or unfitness</w:t>
            </w:r>
            <w:r w:rsidR="0083174B">
              <w:rPr>
                <w:noProof/>
                <w:webHidden/>
              </w:rPr>
              <w:tab/>
            </w:r>
            <w:r w:rsidR="0083174B">
              <w:rPr>
                <w:noProof/>
                <w:webHidden/>
              </w:rPr>
              <w:fldChar w:fldCharType="begin"/>
            </w:r>
            <w:r w:rsidR="0083174B">
              <w:rPr>
                <w:noProof/>
                <w:webHidden/>
              </w:rPr>
              <w:instrText xml:space="preserve"> PAGEREF _Toc147931077 \h </w:instrText>
            </w:r>
            <w:r w:rsidR="0083174B">
              <w:rPr>
                <w:noProof/>
                <w:webHidden/>
              </w:rPr>
            </w:r>
            <w:r w:rsidR="0083174B">
              <w:rPr>
                <w:noProof/>
                <w:webHidden/>
              </w:rPr>
              <w:fldChar w:fldCharType="separate"/>
            </w:r>
            <w:r w:rsidR="00C03C45">
              <w:rPr>
                <w:noProof/>
                <w:webHidden/>
              </w:rPr>
              <w:t>6</w:t>
            </w:r>
            <w:r w:rsidR="0083174B">
              <w:rPr>
                <w:noProof/>
                <w:webHidden/>
              </w:rPr>
              <w:fldChar w:fldCharType="end"/>
            </w:r>
          </w:hyperlink>
        </w:p>
        <w:p w14:paraId="1B6158F4" w14:textId="7146D16C" w:rsidR="0083174B" w:rsidRDefault="00000000">
          <w:pPr>
            <w:pStyle w:val="TOC2"/>
            <w:tabs>
              <w:tab w:val="right" w:leader="underscore" w:pos="9911"/>
            </w:tabs>
            <w:rPr>
              <w:rFonts w:eastAsiaTheme="minorEastAsia" w:cstheme="minorBidi"/>
              <w:b w:val="0"/>
              <w:bCs w:val="0"/>
              <w:noProof/>
              <w:lang w:eastAsia="en-AU"/>
            </w:rPr>
          </w:pPr>
          <w:hyperlink w:anchor="_Toc147931078" w:history="1">
            <w:r w:rsidR="0083174B" w:rsidRPr="00994E51">
              <w:rPr>
                <w:rStyle w:val="Hyperlink"/>
                <w:noProof/>
              </w:rPr>
              <w:t xml:space="preserve">Requirement of a </w:t>
            </w:r>
            <w:r w:rsidR="0083174B" w:rsidRPr="00994E51">
              <w:rPr>
                <w:rStyle w:val="Hyperlink"/>
                <w:i/>
                <w:iCs/>
                <w:noProof/>
              </w:rPr>
              <w:t>prima facie</w:t>
            </w:r>
            <w:r w:rsidR="0083174B" w:rsidRPr="00994E51">
              <w:rPr>
                <w:rStyle w:val="Hyperlink"/>
                <w:noProof/>
              </w:rPr>
              <w:t xml:space="preserve"> case</w:t>
            </w:r>
            <w:r w:rsidR="0083174B">
              <w:rPr>
                <w:noProof/>
                <w:webHidden/>
              </w:rPr>
              <w:tab/>
            </w:r>
            <w:r w:rsidR="0083174B">
              <w:rPr>
                <w:noProof/>
                <w:webHidden/>
              </w:rPr>
              <w:fldChar w:fldCharType="begin"/>
            </w:r>
            <w:r w:rsidR="0083174B">
              <w:rPr>
                <w:noProof/>
                <w:webHidden/>
              </w:rPr>
              <w:instrText xml:space="preserve"> PAGEREF _Toc147931078 \h </w:instrText>
            </w:r>
            <w:r w:rsidR="0083174B">
              <w:rPr>
                <w:noProof/>
                <w:webHidden/>
              </w:rPr>
            </w:r>
            <w:r w:rsidR="0083174B">
              <w:rPr>
                <w:noProof/>
                <w:webHidden/>
              </w:rPr>
              <w:fldChar w:fldCharType="separate"/>
            </w:r>
            <w:r w:rsidR="00C03C45">
              <w:rPr>
                <w:noProof/>
                <w:webHidden/>
              </w:rPr>
              <w:t>6</w:t>
            </w:r>
            <w:r w:rsidR="0083174B">
              <w:rPr>
                <w:noProof/>
                <w:webHidden/>
              </w:rPr>
              <w:fldChar w:fldCharType="end"/>
            </w:r>
          </w:hyperlink>
        </w:p>
        <w:p w14:paraId="009E4E8E" w14:textId="064689D9" w:rsidR="0083174B" w:rsidRDefault="00000000">
          <w:pPr>
            <w:pStyle w:val="TOC2"/>
            <w:tabs>
              <w:tab w:val="right" w:leader="underscore" w:pos="9911"/>
            </w:tabs>
            <w:rPr>
              <w:rFonts w:eastAsiaTheme="minorEastAsia" w:cstheme="minorBidi"/>
              <w:b w:val="0"/>
              <w:bCs w:val="0"/>
              <w:noProof/>
              <w:lang w:eastAsia="en-AU"/>
            </w:rPr>
          </w:pPr>
          <w:hyperlink w:anchor="_Toc147931079" w:history="1">
            <w:r w:rsidR="0083174B" w:rsidRPr="00994E51">
              <w:rPr>
                <w:rStyle w:val="Hyperlink"/>
                <w:noProof/>
              </w:rPr>
              <w:t xml:space="preserve">Procedure following </w:t>
            </w:r>
            <w:r w:rsidR="0083174B" w:rsidRPr="00994E51">
              <w:rPr>
                <w:rStyle w:val="Hyperlink"/>
                <w:i/>
                <w:iCs/>
                <w:noProof/>
              </w:rPr>
              <w:t>prima facie</w:t>
            </w:r>
            <w:r w:rsidR="0083174B" w:rsidRPr="00994E51">
              <w:rPr>
                <w:rStyle w:val="Hyperlink"/>
                <w:noProof/>
              </w:rPr>
              <w:t xml:space="preserve"> determination</w:t>
            </w:r>
            <w:r w:rsidR="0083174B">
              <w:rPr>
                <w:noProof/>
                <w:webHidden/>
              </w:rPr>
              <w:tab/>
            </w:r>
            <w:r w:rsidR="0083174B">
              <w:rPr>
                <w:noProof/>
                <w:webHidden/>
              </w:rPr>
              <w:fldChar w:fldCharType="begin"/>
            </w:r>
            <w:r w:rsidR="0083174B">
              <w:rPr>
                <w:noProof/>
                <w:webHidden/>
              </w:rPr>
              <w:instrText xml:space="preserve"> PAGEREF _Toc147931079 \h </w:instrText>
            </w:r>
            <w:r w:rsidR="0083174B">
              <w:rPr>
                <w:noProof/>
                <w:webHidden/>
              </w:rPr>
            </w:r>
            <w:r w:rsidR="0083174B">
              <w:rPr>
                <w:noProof/>
                <w:webHidden/>
              </w:rPr>
              <w:fldChar w:fldCharType="separate"/>
            </w:r>
            <w:r w:rsidR="00C03C45">
              <w:rPr>
                <w:noProof/>
                <w:webHidden/>
              </w:rPr>
              <w:t>7</w:t>
            </w:r>
            <w:r w:rsidR="0083174B">
              <w:rPr>
                <w:noProof/>
                <w:webHidden/>
              </w:rPr>
              <w:fldChar w:fldCharType="end"/>
            </w:r>
          </w:hyperlink>
        </w:p>
        <w:p w14:paraId="54383CC1" w14:textId="1FEBF0B5" w:rsidR="0083174B" w:rsidRDefault="00000000">
          <w:pPr>
            <w:pStyle w:val="TOC2"/>
            <w:tabs>
              <w:tab w:val="right" w:leader="underscore" w:pos="9911"/>
            </w:tabs>
            <w:rPr>
              <w:rFonts w:eastAsiaTheme="minorEastAsia" w:cstheme="minorBidi"/>
              <w:b w:val="0"/>
              <w:bCs w:val="0"/>
              <w:noProof/>
              <w:lang w:eastAsia="en-AU"/>
            </w:rPr>
          </w:pPr>
          <w:hyperlink w:anchor="_Toc147931080" w:history="1">
            <w:r w:rsidR="0083174B" w:rsidRPr="00994E51">
              <w:rPr>
                <w:rStyle w:val="Hyperlink"/>
                <w:noProof/>
              </w:rPr>
              <w:t>Recording outcomes in CaseHQ</w:t>
            </w:r>
            <w:r w:rsidR="0083174B">
              <w:rPr>
                <w:noProof/>
                <w:webHidden/>
              </w:rPr>
              <w:tab/>
            </w:r>
            <w:r w:rsidR="0083174B">
              <w:rPr>
                <w:noProof/>
                <w:webHidden/>
              </w:rPr>
              <w:fldChar w:fldCharType="begin"/>
            </w:r>
            <w:r w:rsidR="0083174B">
              <w:rPr>
                <w:noProof/>
                <w:webHidden/>
              </w:rPr>
              <w:instrText xml:space="preserve"> PAGEREF _Toc147931080 \h </w:instrText>
            </w:r>
            <w:r w:rsidR="0083174B">
              <w:rPr>
                <w:noProof/>
                <w:webHidden/>
              </w:rPr>
            </w:r>
            <w:r w:rsidR="0083174B">
              <w:rPr>
                <w:noProof/>
                <w:webHidden/>
              </w:rPr>
              <w:fldChar w:fldCharType="separate"/>
            </w:r>
            <w:r w:rsidR="00C03C45">
              <w:rPr>
                <w:noProof/>
                <w:webHidden/>
              </w:rPr>
              <w:t>7</w:t>
            </w:r>
            <w:r w:rsidR="0083174B">
              <w:rPr>
                <w:noProof/>
                <w:webHidden/>
              </w:rPr>
              <w:fldChar w:fldCharType="end"/>
            </w:r>
          </w:hyperlink>
        </w:p>
        <w:p w14:paraId="0C7FA789" w14:textId="577FD2D0" w:rsidR="0083174B" w:rsidRDefault="00000000">
          <w:pPr>
            <w:pStyle w:val="TOC1"/>
            <w:tabs>
              <w:tab w:val="left" w:pos="440"/>
              <w:tab w:val="right" w:leader="underscore" w:pos="9911"/>
            </w:tabs>
            <w:rPr>
              <w:rFonts w:eastAsiaTheme="minorEastAsia" w:cstheme="minorBidi"/>
              <w:b w:val="0"/>
              <w:bCs w:val="0"/>
              <w:i w:val="0"/>
              <w:iCs w:val="0"/>
              <w:noProof/>
              <w:sz w:val="22"/>
              <w:szCs w:val="22"/>
              <w:lang w:eastAsia="en-AU"/>
            </w:rPr>
          </w:pPr>
          <w:hyperlink w:anchor="_Toc147931081" w:history="1">
            <w:r w:rsidR="0083174B" w:rsidRPr="00994E51">
              <w:rPr>
                <w:rStyle w:val="Hyperlink"/>
                <w:noProof/>
              </w:rPr>
              <w:t>C.</w:t>
            </w:r>
            <w:r w:rsidR="0083174B">
              <w:rPr>
                <w:rFonts w:eastAsiaTheme="minorEastAsia" w:cstheme="minorBidi"/>
                <w:b w:val="0"/>
                <w:bCs w:val="0"/>
                <w:i w:val="0"/>
                <w:iCs w:val="0"/>
                <w:noProof/>
                <w:sz w:val="22"/>
                <w:szCs w:val="22"/>
                <w:lang w:eastAsia="en-AU"/>
              </w:rPr>
              <w:tab/>
            </w:r>
            <w:r w:rsidR="0083174B" w:rsidRPr="00994E51">
              <w:rPr>
                <w:rStyle w:val="Hyperlink"/>
                <w:noProof/>
              </w:rPr>
              <w:t>Summary disposition of persons suffering from mental illness or intellectual disability: Section 20BQ of the Crimes Act</w:t>
            </w:r>
            <w:r w:rsidR="0083174B">
              <w:rPr>
                <w:noProof/>
                <w:webHidden/>
              </w:rPr>
              <w:tab/>
            </w:r>
            <w:r w:rsidR="0083174B">
              <w:rPr>
                <w:noProof/>
                <w:webHidden/>
              </w:rPr>
              <w:fldChar w:fldCharType="begin"/>
            </w:r>
            <w:r w:rsidR="0083174B">
              <w:rPr>
                <w:noProof/>
                <w:webHidden/>
              </w:rPr>
              <w:instrText xml:space="preserve"> PAGEREF _Toc147931081 \h </w:instrText>
            </w:r>
            <w:r w:rsidR="0083174B">
              <w:rPr>
                <w:noProof/>
                <w:webHidden/>
              </w:rPr>
            </w:r>
            <w:r w:rsidR="0083174B">
              <w:rPr>
                <w:noProof/>
                <w:webHidden/>
              </w:rPr>
              <w:fldChar w:fldCharType="separate"/>
            </w:r>
            <w:r w:rsidR="00C03C45">
              <w:rPr>
                <w:noProof/>
                <w:webHidden/>
              </w:rPr>
              <w:t>7</w:t>
            </w:r>
            <w:r w:rsidR="0083174B">
              <w:rPr>
                <w:noProof/>
                <w:webHidden/>
              </w:rPr>
              <w:fldChar w:fldCharType="end"/>
            </w:r>
          </w:hyperlink>
        </w:p>
        <w:p w14:paraId="184AF589" w14:textId="34D0B955" w:rsidR="0083174B" w:rsidRDefault="00000000">
          <w:pPr>
            <w:pStyle w:val="TOC2"/>
            <w:tabs>
              <w:tab w:val="right" w:leader="underscore" w:pos="9911"/>
            </w:tabs>
            <w:rPr>
              <w:rFonts w:eastAsiaTheme="minorEastAsia" w:cstheme="minorBidi"/>
              <w:b w:val="0"/>
              <w:bCs w:val="0"/>
              <w:noProof/>
              <w:lang w:eastAsia="en-AU"/>
            </w:rPr>
          </w:pPr>
          <w:hyperlink w:anchor="_Toc147931082" w:history="1">
            <w:r w:rsidR="0083174B" w:rsidRPr="00994E51">
              <w:rPr>
                <w:rStyle w:val="Hyperlink"/>
                <w:noProof/>
              </w:rPr>
              <w:t>Orders the Court can make</w:t>
            </w:r>
            <w:r w:rsidR="0083174B">
              <w:rPr>
                <w:noProof/>
                <w:webHidden/>
              </w:rPr>
              <w:tab/>
            </w:r>
            <w:r w:rsidR="0083174B">
              <w:rPr>
                <w:noProof/>
                <w:webHidden/>
              </w:rPr>
              <w:fldChar w:fldCharType="begin"/>
            </w:r>
            <w:r w:rsidR="0083174B">
              <w:rPr>
                <w:noProof/>
                <w:webHidden/>
              </w:rPr>
              <w:instrText xml:space="preserve"> PAGEREF _Toc147931082 \h </w:instrText>
            </w:r>
            <w:r w:rsidR="0083174B">
              <w:rPr>
                <w:noProof/>
                <w:webHidden/>
              </w:rPr>
            </w:r>
            <w:r w:rsidR="0083174B">
              <w:rPr>
                <w:noProof/>
                <w:webHidden/>
              </w:rPr>
              <w:fldChar w:fldCharType="separate"/>
            </w:r>
            <w:r w:rsidR="00C03C45">
              <w:rPr>
                <w:noProof/>
                <w:webHidden/>
              </w:rPr>
              <w:t>10</w:t>
            </w:r>
            <w:r w:rsidR="0083174B">
              <w:rPr>
                <w:noProof/>
                <w:webHidden/>
              </w:rPr>
              <w:fldChar w:fldCharType="end"/>
            </w:r>
          </w:hyperlink>
        </w:p>
        <w:p w14:paraId="0EBA362E" w14:textId="5AEC858C" w:rsidR="0083174B" w:rsidRDefault="00000000">
          <w:pPr>
            <w:pStyle w:val="TOC2"/>
            <w:tabs>
              <w:tab w:val="right" w:leader="underscore" w:pos="9911"/>
            </w:tabs>
            <w:rPr>
              <w:rFonts w:eastAsiaTheme="minorEastAsia" w:cstheme="minorBidi"/>
              <w:b w:val="0"/>
              <w:bCs w:val="0"/>
              <w:noProof/>
              <w:lang w:eastAsia="en-AU"/>
            </w:rPr>
          </w:pPr>
          <w:hyperlink w:anchor="_Toc147931083" w:history="1">
            <w:r w:rsidR="0083174B" w:rsidRPr="00994E51">
              <w:rPr>
                <w:rStyle w:val="Hyperlink"/>
                <w:noProof/>
              </w:rPr>
              <w:t>The meaning of ’treatment’ in section 20BQ(1)(c)(ii)</w:t>
            </w:r>
            <w:r w:rsidR="0083174B">
              <w:rPr>
                <w:noProof/>
                <w:webHidden/>
              </w:rPr>
              <w:tab/>
            </w:r>
            <w:r w:rsidR="0083174B">
              <w:rPr>
                <w:noProof/>
                <w:webHidden/>
              </w:rPr>
              <w:fldChar w:fldCharType="begin"/>
            </w:r>
            <w:r w:rsidR="0083174B">
              <w:rPr>
                <w:noProof/>
                <w:webHidden/>
              </w:rPr>
              <w:instrText xml:space="preserve"> PAGEREF _Toc147931083 \h </w:instrText>
            </w:r>
            <w:r w:rsidR="0083174B">
              <w:rPr>
                <w:noProof/>
                <w:webHidden/>
              </w:rPr>
            </w:r>
            <w:r w:rsidR="0083174B">
              <w:rPr>
                <w:noProof/>
                <w:webHidden/>
              </w:rPr>
              <w:fldChar w:fldCharType="separate"/>
            </w:r>
            <w:r w:rsidR="00C03C45">
              <w:rPr>
                <w:noProof/>
                <w:webHidden/>
              </w:rPr>
              <w:t>11</w:t>
            </w:r>
            <w:r w:rsidR="0083174B">
              <w:rPr>
                <w:noProof/>
                <w:webHidden/>
              </w:rPr>
              <w:fldChar w:fldCharType="end"/>
            </w:r>
          </w:hyperlink>
        </w:p>
        <w:p w14:paraId="18BD3909" w14:textId="3C0CEAE1" w:rsidR="0083174B" w:rsidRDefault="00000000">
          <w:pPr>
            <w:pStyle w:val="TOC2"/>
            <w:tabs>
              <w:tab w:val="right" w:leader="underscore" w:pos="9911"/>
            </w:tabs>
            <w:rPr>
              <w:rFonts w:eastAsiaTheme="minorEastAsia" w:cstheme="minorBidi"/>
              <w:b w:val="0"/>
              <w:bCs w:val="0"/>
              <w:noProof/>
              <w:lang w:eastAsia="en-AU"/>
            </w:rPr>
          </w:pPr>
          <w:hyperlink w:anchor="_Toc147931084" w:history="1">
            <w:r w:rsidR="0083174B" w:rsidRPr="00994E51">
              <w:rPr>
                <w:rStyle w:val="Hyperlink"/>
                <w:noProof/>
              </w:rPr>
              <w:t>No breach action available for section 20BQ orders</w:t>
            </w:r>
            <w:r w:rsidR="0083174B">
              <w:rPr>
                <w:noProof/>
                <w:webHidden/>
              </w:rPr>
              <w:tab/>
            </w:r>
            <w:r w:rsidR="0083174B">
              <w:rPr>
                <w:noProof/>
                <w:webHidden/>
              </w:rPr>
              <w:fldChar w:fldCharType="begin"/>
            </w:r>
            <w:r w:rsidR="0083174B">
              <w:rPr>
                <w:noProof/>
                <w:webHidden/>
              </w:rPr>
              <w:instrText xml:space="preserve"> PAGEREF _Toc147931084 \h </w:instrText>
            </w:r>
            <w:r w:rsidR="0083174B">
              <w:rPr>
                <w:noProof/>
                <w:webHidden/>
              </w:rPr>
            </w:r>
            <w:r w:rsidR="0083174B">
              <w:rPr>
                <w:noProof/>
                <w:webHidden/>
              </w:rPr>
              <w:fldChar w:fldCharType="separate"/>
            </w:r>
            <w:r w:rsidR="00C03C45">
              <w:rPr>
                <w:noProof/>
                <w:webHidden/>
              </w:rPr>
              <w:t>11</w:t>
            </w:r>
            <w:r w:rsidR="0083174B">
              <w:rPr>
                <w:noProof/>
                <w:webHidden/>
              </w:rPr>
              <w:fldChar w:fldCharType="end"/>
            </w:r>
          </w:hyperlink>
        </w:p>
        <w:p w14:paraId="2E41DC32" w14:textId="62BD08DD" w:rsidR="0083174B" w:rsidRDefault="00000000">
          <w:pPr>
            <w:pStyle w:val="TOC2"/>
            <w:tabs>
              <w:tab w:val="right" w:leader="underscore" w:pos="9911"/>
            </w:tabs>
            <w:rPr>
              <w:rFonts w:eastAsiaTheme="minorEastAsia" w:cstheme="minorBidi"/>
              <w:b w:val="0"/>
              <w:bCs w:val="0"/>
              <w:noProof/>
              <w:lang w:eastAsia="en-AU"/>
            </w:rPr>
          </w:pPr>
          <w:hyperlink w:anchor="_Toc147931085" w:history="1">
            <w:r w:rsidR="0083174B" w:rsidRPr="00994E51">
              <w:rPr>
                <w:rStyle w:val="Hyperlink"/>
                <w:noProof/>
              </w:rPr>
              <w:t>Recording outcomes in CaseHQ</w:t>
            </w:r>
            <w:r w:rsidR="0083174B">
              <w:rPr>
                <w:noProof/>
                <w:webHidden/>
              </w:rPr>
              <w:tab/>
            </w:r>
            <w:r w:rsidR="0083174B">
              <w:rPr>
                <w:noProof/>
                <w:webHidden/>
              </w:rPr>
              <w:fldChar w:fldCharType="begin"/>
            </w:r>
            <w:r w:rsidR="0083174B">
              <w:rPr>
                <w:noProof/>
                <w:webHidden/>
              </w:rPr>
              <w:instrText xml:space="preserve"> PAGEREF _Toc147931085 \h </w:instrText>
            </w:r>
            <w:r w:rsidR="0083174B">
              <w:rPr>
                <w:noProof/>
                <w:webHidden/>
              </w:rPr>
            </w:r>
            <w:r w:rsidR="0083174B">
              <w:rPr>
                <w:noProof/>
                <w:webHidden/>
              </w:rPr>
              <w:fldChar w:fldCharType="separate"/>
            </w:r>
            <w:r w:rsidR="00C03C45">
              <w:rPr>
                <w:noProof/>
                <w:webHidden/>
              </w:rPr>
              <w:t>11</w:t>
            </w:r>
            <w:r w:rsidR="0083174B">
              <w:rPr>
                <w:noProof/>
                <w:webHidden/>
              </w:rPr>
              <w:fldChar w:fldCharType="end"/>
            </w:r>
          </w:hyperlink>
        </w:p>
        <w:p w14:paraId="2FA94068" w14:textId="0A82252B" w:rsidR="0083174B" w:rsidRDefault="00000000">
          <w:pPr>
            <w:pStyle w:val="TOC1"/>
            <w:tabs>
              <w:tab w:val="left" w:pos="440"/>
              <w:tab w:val="right" w:leader="underscore" w:pos="9911"/>
            </w:tabs>
            <w:rPr>
              <w:rFonts w:eastAsiaTheme="minorEastAsia" w:cstheme="minorBidi"/>
              <w:b w:val="0"/>
              <w:bCs w:val="0"/>
              <w:i w:val="0"/>
              <w:iCs w:val="0"/>
              <w:noProof/>
              <w:sz w:val="22"/>
              <w:szCs w:val="22"/>
              <w:lang w:eastAsia="en-AU"/>
            </w:rPr>
          </w:pPr>
          <w:hyperlink w:anchor="_Toc147931086" w:history="1">
            <w:r w:rsidR="0083174B" w:rsidRPr="00994E51">
              <w:rPr>
                <w:rStyle w:val="Hyperlink"/>
                <w:noProof/>
              </w:rPr>
              <w:t>D.</w:t>
            </w:r>
            <w:r w:rsidR="0083174B">
              <w:rPr>
                <w:rFonts w:eastAsiaTheme="minorEastAsia" w:cstheme="minorBidi"/>
                <w:b w:val="0"/>
                <w:bCs w:val="0"/>
                <w:i w:val="0"/>
                <w:iCs w:val="0"/>
                <w:noProof/>
                <w:sz w:val="22"/>
                <w:szCs w:val="22"/>
                <w:lang w:eastAsia="en-AU"/>
              </w:rPr>
              <w:tab/>
            </w:r>
            <w:r w:rsidR="0083174B" w:rsidRPr="00994E51">
              <w:rPr>
                <w:rStyle w:val="Hyperlink"/>
                <w:noProof/>
              </w:rPr>
              <w:t>Other related resources</w:t>
            </w:r>
            <w:r w:rsidR="0083174B">
              <w:rPr>
                <w:noProof/>
                <w:webHidden/>
              </w:rPr>
              <w:tab/>
            </w:r>
            <w:r w:rsidR="0083174B">
              <w:rPr>
                <w:noProof/>
                <w:webHidden/>
              </w:rPr>
              <w:fldChar w:fldCharType="begin"/>
            </w:r>
            <w:r w:rsidR="0083174B">
              <w:rPr>
                <w:noProof/>
                <w:webHidden/>
              </w:rPr>
              <w:instrText xml:space="preserve"> PAGEREF _Toc147931086 \h </w:instrText>
            </w:r>
            <w:r w:rsidR="0083174B">
              <w:rPr>
                <w:noProof/>
                <w:webHidden/>
              </w:rPr>
            </w:r>
            <w:r w:rsidR="0083174B">
              <w:rPr>
                <w:noProof/>
                <w:webHidden/>
              </w:rPr>
              <w:fldChar w:fldCharType="separate"/>
            </w:r>
            <w:r w:rsidR="00C03C45">
              <w:rPr>
                <w:noProof/>
                <w:webHidden/>
              </w:rPr>
              <w:t>11</w:t>
            </w:r>
            <w:r w:rsidR="0083174B">
              <w:rPr>
                <w:noProof/>
                <w:webHidden/>
              </w:rPr>
              <w:fldChar w:fldCharType="end"/>
            </w:r>
          </w:hyperlink>
        </w:p>
        <w:p w14:paraId="0B18B23F" w14:textId="64718592" w:rsidR="0083174B" w:rsidRDefault="00000000">
          <w:pPr>
            <w:pStyle w:val="TOC1"/>
            <w:tabs>
              <w:tab w:val="left" w:pos="440"/>
              <w:tab w:val="right" w:leader="underscore" w:pos="9911"/>
            </w:tabs>
            <w:rPr>
              <w:rFonts w:eastAsiaTheme="minorEastAsia" w:cstheme="minorBidi"/>
              <w:b w:val="0"/>
              <w:bCs w:val="0"/>
              <w:i w:val="0"/>
              <w:iCs w:val="0"/>
              <w:noProof/>
              <w:sz w:val="22"/>
              <w:szCs w:val="22"/>
              <w:lang w:eastAsia="en-AU"/>
            </w:rPr>
          </w:pPr>
          <w:hyperlink w:anchor="_Toc147931087" w:history="1">
            <w:r w:rsidR="0083174B" w:rsidRPr="00994E51">
              <w:rPr>
                <w:rStyle w:val="Hyperlink"/>
                <w:noProof/>
              </w:rPr>
              <w:t>E.</w:t>
            </w:r>
            <w:r w:rsidR="0083174B">
              <w:rPr>
                <w:rFonts w:eastAsiaTheme="minorEastAsia" w:cstheme="minorBidi"/>
                <w:b w:val="0"/>
                <w:bCs w:val="0"/>
                <w:i w:val="0"/>
                <w:iCs w:val="0"/>
                <w:noProof/>
                <w:sz w:val="22"/>
                <w:szCs w:val="22"/>
                <w:lang w:eastAsia="en-AU"/>
              </w:rPr>
              <w:tab/>
            </w:r>
            <w:r w:rsidR="0083174B" w:rsidRPr="00994E51">
              <w:rPr>
                <w:rStyle w:val="Hyperlink"/>
                <w:noProof/>
              </w:rPr>
              <w:t>Annexure A – Flowcharts for matters on indictment</w:t>
            </w:r>
            <w:r w:rsidR="0083174B">
              <w:rPr>
                <w:noProof/>
                <w:webHidden/>
              </w:rPr>
              <w:tab/>
            </w:r>
            <w:r w:rsidR="0083174B">
              <w:rPr>
                <w:noProof/>
                <w:webHidden/>
              </w:rPr>
              <w:fldChar w:fldCharType="begin"/>
            </w:r>
            <w:r w:rsidR="0083174B">
              <w:rPr>
                <w:noProof/>
                <w:webHidden/>
              </w:rPr>
              <w:instrText xml:space="preserve"> PAGEREF _Toc147931087 \h </w:instrText>
            </w:r>
            <w:r w:rsidR="0083174B">
              <w:rPr>
                <w:noProof/>
                <w:webHidden/>
              </w:rPr>
            </w:r>
            <w:r w:rsidR="0083174B">
              <w:rPr>
                <w:noProof/>
                <w:webHidden/>
              </w:rPr>
              <w:fldChar w:fldCharType="separate"/>
            </w:r>
            <w:r w:rsidR="00C03C45">
              <w:rPr>
                <w:noProof/>
                <w:webHidden/>
              </w:rPr>
              <w:t>13</w:t>
            </w:r>
            <w:r w:rsidR="0083174B">
              <w:rPr>
                <w:noProof/>
                <w:webHidden/>
              </w:rPr>
              <w:fldChar w:fldCharType="end"/>
            </w:r>
          </w:hyperlink>
        </w:p>
        <w:p w14:paraId="1665F755" w14:textId="4D7AD3E8" w:rsidR="00E34801" w:rsidRDefault="00622B56">
          <w:r>
            <w:rPr>
              <w:rFonts w:cstheme="minorHAnsi"/>
              <w:i/>
              <w:iCs/>
              <w:sz w:val="24"/>
              <w:szCs w:val="24"/>
            </w:rPr>
            <w:fldChar w:fldCharType="end"/>
          </w:r>
        </w:p>
      </w:sdtContent>
    </w:sdt>
    <w:p w14:paraId="11CC4F22" w14:textId="35F0366B" w:rsidR="00DF11DB" w:rsidRDefault="009F40F1" w:rsidP="00DF11DB">
      <w:pPr>
        <w:pStyle w:val="Heading1"/>
      </w:pPr>
      <w:bookmarkStart w:id="0" w:name="_Toc147931067"/>
      <w:r>
        <w:t>Introduction</w:t>
      </w:r>
      <w:bookmarkEnd w:id="0"/>
    </w:p>
    <w:p w14:paraId="609B4DDF" w14:textId="60E087B2" w:rsidR="009F40F1" w:rsidRPr="005E7B17" w:rsidRDefault="009F40F1" w:rsidP="00BF0AD5">
      <w:pPr>
        <w:pStyle w:val="NumberedParagraph"/>
        <w:jc w:val="left"/>
      </w:pPr>
      <w:bookmarkStart w:id="1" w:name="_Toc138750406"/>
      <w:r w:rsidRPr="005E7B17">
        <w:t xml:space="preserve">It is a fundamental principle of criminal law that a person charged with an offence is not to be tried unless </w:t>
      </w:r>
      <w:r w:rsidR="00E22D30">
        <w:t>they</w:t>
      </w:r>
      <w:r w:rsidRPr="005E7B17">
        <w:t xml:space="preserve"> </w:t>
      </w:r>
      <w:r w:rsidR="00E22D30">
        <w:t>are</w:t>
      </w:r>
      <w:r w:rsidRPr="005E7B17">
        <w:t xml:space="preserve"> mentally competent. A question may therefore arise in a criminal proceeding as to whether the person is able to face summary proceedings or to be put on trial.</w:t>
      </w:r>
    </w:p>
    <w:p w14:paraId="41074246" w14:textId="454A1BEE" w:rsidR="009F40F1" w:rsidRDefault="009F40F1" w:rsidP="00E34801">
      <w:pPr>
        <w:pStyle w:val="NumberedParagraph"/>
      </w:pPr>
      <w:r>
        <w:t>At common law, a person is presumed to be competent.</w:t>
      </w:r>
      <w:r w:rsidRPr="00CC0CAE">
        <w:rPr>
          <w:spacing w:val="1"/>
        </w:rPr>
        <w:t xml:space="preserve"> </w:t>
      </w:r>
      <w:r>
        <w:t>The presumption is only displaced where a</w:t>
      </w:r>
      <w:r w:rsidRPr="00CC0CAE">
        <w:rPr>
          <w:spacing w:val="1"/>
        </w:rPr>
        <w:t xml:space="preserve"> </w:t>
      </w:r>
      <w:r>
        <w:t xml:space="preserve">question </w:t>
      </w:r>
      <w:r w:rsidR="00E22D30">
        <w:t>regarding</w:t>
      </w:r>
      <w:r>
        <w:t xml:space="preserve">  the person’s fitness is raised.</w:t>
      </w:r>
      <w:r w:rsidRPr="00CC0CAE">
        <w:rPr>
          <w:spacing w:val="1"/>
        </w:rPr>
        <w:t xml:space="preserve"> </w:t>
      </w:r>
      <w:r>
        <w:t>However, while common law considerations remain</w:t>
      </w:r>
      <w:r w:rsidRPr="00CC0CAE">
        <w:rPr>
          <w:spacing w:val="1"/>
        </w:rPr>
        <w:t xml:space="preserve"> </w:t>
      </w:r>
      <w:r>
        <w:lastRenderedPageBreak/>
        <w:t>relevant, all jurisdictions now have legislation setting out the procedures for determining fitness to be tried (</w:t>
      </w:r>
      <w:r w:rsidR="00E81233">
        <w:t>which also includes</w:t>
      </w:r>
      <w:r w:rsidRPr="00CC0CAE">
        <w:rPr>
          <w:spacing w:val="-3"/>
        </w:rPr>
        <w:t xml:space="preserve"> </w:t>
      </w:r>
      <w:r>
        <w:t>‘</w:t>
      </w:r>
      <w:r w:rsidR="00622B56">
        <w:t>f</w:t>
      </w:r>
      <w:r>
        <w:t>itness</w:t>
      </w:r>
      <w:r w:rsidRPr="00CC0CAE">
        <w:rPr>
          <w:spacing w:val="1"/>
        </w:rPr>
        <w:t xml:space="preserve"> </w:t>
      </w:r>
      <w:r>
        <w:t>to</w:t>
      </w:r>
      <w:r w:rsidRPr="00CC0CAE">
        <w:rPr>
          <w:spacing w:val="1"/>
        </w:rPr>
        <w:t xml:space="preserve"> </w:t>
      </w:r>
      <w:r>
        <w:t>plead’</w:t>
      </w:r>
      <w:r w:rsidR="00E81233">
        <w:rPr>
          <w:rStyle w:val="FootnoteReference"/>
        </w:rPr>
        <w:footnoteReference w:id="1"/>
      </w:r>
      <w:r>
        <w:t>)</w:t>
      </w:r>
      <w:r w:rsidR="00E34801">
        <w:t>.</w:t>
      </w:r>
    </w:p>
    <w:p w14:paraId="4E863E3D" w14:textId="50B268E3" w:rsidR="009F40F1" w:rsidRDefault="009F40F1" w:rsidP="00E34801">
      <w:pPr>
        <w:pStyle w:val="NumberedParagraph"/>
      </w:pPr>
      <w:r>
        <w:t xml:space="preserve">The </w:t>
      </w:r>
      <w:r w:rsidR="0026548A" w:rsidRPr="0026548A">
        <w:rPr>
          <w:i/>
        </w:rPr>
        <w:t>Crimes Act</w:t>
      </w:r>
      <w:r w:rsidRPr="00CC0CAE">
        <w:rPr>
          <w:i/>
        </w:rPr>
        <w:t xml:space="preserve"> 1914 </w:t>
      </w:r>
      <w:r>
        <w:t>(</w:t>
      </w:r>
      <w:proofErr w:type="spellStart"/>
      <w:r>
        <w:t>Cth</w:t>
      </w:r>
      <w:proofErr w:type="spellEnd"/>
      <w:r>
        <w:t>) (</w:t>
      </w:r>
      <w:r w:rsidR="00CA4C42">
        <w:t>‘</w:t>
      </w:r>
      <w:r w:rsidR="0026548A" w:rsidRPr="0026548A">
        <w:rPr>
          <w:b/>
          <w:i/>
          <w:iCs/>
        </w:rPr>
        <w:t>Crimes Act</w:t>
      </w:r>
      <w:r w:rsidR="00CA4C42">
        <w:t>’</w:t>
      </w:r>
      <w:r>
        <w:t>) sets out a regime that applies in Commonwealth criminal</w:t>
      </w:r>
      <w:r w:rsidRPr="00CC0CAE">
        <w:rPr>
          <w:spacing w:val="1"/>
        </w:rPr>
        <w:t xml:space="preserve"> </w:t>
      </w:r>
      <w:r>
        <w:t>prosecutions</w:t>
      </w:r>
      <w:r w:rsidRPr="00CC0CAE">
        <w:rPr>
          <w:spacing w:val="-1"/>
        </w:rPr>
        <w:t xml:space="preserve"> </w:t>
      </w:r>
      <w:r>
        <w:t>involving</w:t>
      </w:r>
      <w:r w:rsidRPr="00CC0CAE">
        <w:rPr>
          <w:spacing w:val="-4"/>
        </w:rPr>
        <w:t xml:space="preserve"> </w:t>
      </w:r>
      <w:r>
        <w:t>mental</w:t>
      </w:r>
      <w:r w:rsidRPr="00CC0CAE">
        <w:rPr>
          <w:spacing w:val="-2"/>
        </w:rPr>
        <w:t xml:space="preserve"> </w:t>
      </w:r>
      <w:r>
        <w:t>health</w:t>
      </w:r>
      <w:r w:rsidRPr="00CC0CAE">
        <w:rPr>
          <w:spacing w:val="-4"/>
        </w:rPr>
        <w:t xml:space="preserve"> </w:t>
      </w:r>
      <w:r>
        <w:t>or</w:t>
      </w:r>
      <w:r w:rsidRPr="00CC0CAE">
        <w:rPr>
          <w:spacing w:val="-2"/>
        </w:rPr>
        <w:t xml:space="preserve"> </w:t>
      </w:r>
      <w:r>
        <w:t>intellectual</w:t>
      </w:r>
      <w:r w:rsidRPr="00CC0CAE">
        <w:rPr>
          <w:spacing w:val="-2"/>
        </w:rPr>
        <w:t xml:space="preserve"> </w:t>
      </w:r>
      <w:r>
        <w:t>disability</w:t>
      </w:r>
      <w:r w:rsidRPr="00CC0CAE">
        <w:rPr>
          <w:spacing w:val="-2"/>
        </w:rPr>
        <w:t xml:space="preserve"> </w:t>
      </w:r>
      <w:r>
        <w:t>issues</w:t>
      </w:r>
      <w:r w:rsidRPr="00CC0CAE">
        <w:rPr>
          <w:spacing w:val="-1"/>
        </w:rPr>
        <w:t xml:space="preserve"> </w:t>
      </w:r>
      <w:r>
        <w:t>present</w:t>
      </w:r>
      <w:r w:rsidRPr="00CC0CAE">
        <w:rPr>
          <w:spacing w:val="-2"/>
        </w:rPr>
        <w:t xml:space="preserve"> </w:t>
      </w:r>
      <w:r>
        <w:t>at</w:t>
      </w:r>
      <w:r w:rsidRPr="00CC0CAE">
        <w:rPr>
          <w:spacing w:val="-3"/>
        </w:rPr>
        <w:t xml:space="preserve"> </w:t>
      </w:r>
      <w:r>
        <w:t>the</w:t>
      </w:r>
      <w:r w:rsidRPr="00CC0CAE">
        <w:rPr>
          <w:spacing w:val="-4"/>
        </w:rPr>
        <w:t xml:space="preserve"> </w:t>
      </w:r>
      <w:r>
        <w:t>time</w:t>
      </w:r>
      <w:r w:rsidRPr="00CC0CAE">
        <w:rPr>
          <w:spacing w:val="-3"/>
        </w:rPr>
        <w:t xml:space="preserve"> </w:t>
      </w:r>
      <w:r>
        <w:t>of</w:t>
      </w:r>
      <w:r w:rsidRPr="00CC0CAE">
        <w:rPr>
          <w:spacing w:val="-2"/>
        </w:rPr>
        <w:t xml:space="preserve"> </w:t>
      </w:r>
      <w:r>
        <w:t>proceedings and it draws an important distinction in approach depending on whether charges are being disposed of summarily or on indictment.</w:t>
      </w:r>
    </w:p>
    <w:p w14:paraId="717478CF" w14:textId="77777777" w:rsidR="009F40F1" w:rsidRPr="009F40F1" w:rsidRDefault="009F40F1" w:rsidP="00E34801">
      <w:pPr>
        <w:pStyle w:val="NumberedParagraph"/>
      </w:pPr>
      <w:r w:rsidRPr="009F40F1">
        <w:t>More particularly:</w:t>
      </w:r>
    </w:p>
    <w:bookmarkEnd w:id="1"/>
    <w:p w14:paraId="12DE8E67" w14:textId="16413E37" w:rsidR="009F40F1" w:rsidRPr="009F40F1" w:rsidRDefault="009F40F1" w:rsidP="009F40F1">
      <w:pPr>
        <w:pStyle w:val="Tab1"/>
      </w:pPr>
      <w:r w:rsidRPr="009F40F1">
        <w:t xml:space="preserve">In summary prosecutions involving solely Commonwealth charges, Division 8 of Part </w:t>
      </w:r>
      <w:r w:rsidR="000406DC">
        <w:t>I</w:t>
      </w:r>
      <w:r w:rsidRPr="009F40F1">
        <w:t xml:space="preserve">B of the </w:t>
      </w:r>
      <w:r w:rsidR="0026548A" w:rsidRPr="0026548A">
        <w:rPr>
          <w:i/>
        </w:rPr>
        <w:t>Crimes Act</w:t>
      </w:r>
      <w:r w:rsidRPr="009F40F1">
        <w:t xml:space="preserve"> governs the procedure,</w:t>
      </w:r>
      <w:r w:rsidR="00D04479">
        <w:rPr>
          <w:rStyle w:val="FootnoteReference"/>
        </w:rPr>
        <w:footnoteReference w:id="2"/>
      </w:r>
      <w:r w:rsidRPr="009F40F1">
        <w:t xml:space="preserve"> with elements of State or Territory procedure used for conducting psychological or other assessments to determine whether a diversionary process is available for defendants suffering from mental illness or intellectual disability;</w:t>
      </w:r>
    </w:p>
    <w:p w14:paraId="7F09B884" w14:textId="75821E06" w:rsidR="009F40F1" w:rsidRPr="009F40F1" w:rsidRDefault="009F40F1" w:rsidP="009F40F1">
      <w:pPr>
        <w:pStyle w:val="Tab1"/>
      </w:pPr>
      <w:r w:rsidRPr="009F40F1">
        <w:t xml:space="preserve">In prosecutions on indictment involving solely Commonwealth charges, Division 6 of Part </w:t>
      </w:r>
      <w:r w:rsidR="000406DC">
        <w:t>I</w:t>
      </w:r>
      <w:r w:rsidRPr="009F40F1">
        <w:t xml:space="preserve">B of the </w:t>
      </w:r>
      <w:r w:rsidR="0026548A" w:rsidRPr="0026548A">
        <w:rPr>
          <w:i/>
        </w:rPr>
        <w:t>Crimes Act</w:t>
      </w:r>
      <w:r w:rsidRPr="009F40F1">
        <w:t xml:space="preserve"> applies,</w:t>
      </w:r>
      <w:r w:rsidR="00E22D30">
        <w:rPr>
          <w:rStyle w:val="FootnoteReference"/>
        </w:rPr>
        <w:footnoteReference w:id="3"/>
      </w:r>
      <w:r w:rsidRPr="009F40F1">
        <w:t xml:space="preserve"> with State or Territory procedure used in determining the question of fitness. If a judge, in the exercise of his or her discretion, rules that there is a serious question as to the person’s fitness to be tried, depending on the jurisdiction involved, the question of fitness will then need to be resolved either by a jury that is empanelled specifically for the purpose of determining this issue or by a Judge alone.  Following that determination (with a person ultimately being held either fit or unfit to be tried), the </w:t>
      </w:r>
      <w:r w:rsidR="0026548A" w:rsidRPr="0026548A">
        <w:rPr>
          <w:i/>
        </w:rPr>
        <w:t>Crimes Act</w:t>
      </w:r>
      <w:r w:rsidRPr="009F40F1">
        <w:t xml:space="preserve"> then governs the procedure to be taken following the determination of fitness; and</w:t>
      </w:r>
    </w:p>
    <w:p w14:paraId="32F89B83" w14:textId="6F165DA5" w:rsidR="009F40F1" w:rsidRPr="009F40F1" w:rsidRDefault="009F40F1" w:rsidP="009F40F1">
      <w:pPr>
        <w:pStyle w:val="Tab1"/>
      </w:pPr>
      <w:r w:rsidRPr="009F40F1">
        <w:t xml:space="preserve">Where a person in a summary or indictable matter faces a combination of Commonwealth charges and State or Territory charges, the applicable </w:t>
      </w:r>
      <w:r w:rsidR="0026548A" w:rsidRPr="0026548A">
        <w:rPr>
          <w:i/>
        </w:rPr>
        <w:t>Crimes Act</w:t>
      </w:r>
      <w:r w:rsidRPr="009F40F1">
        <w:t xml:space="preserve"> procedure must be followed for Commonwealth charges and the relevant State or Territory procedure</w:t>
      </w:r>
      <w:r w:rsidR="00D04479">
        <w:t xml:space="preserve"> to determine unfitness to be tried</w:t>
      </w:r>
      <w:r w:rsidRPr="009F40F1">
        <w:t xml:space="preserve"> must be followed for any State or Territory charges. Given the differences in these procedures, careful consideration should be given to the form of any indictment which contemplates both Commonwealth and State or Territory charges where the issue of a defendant’s fitness to plead is likely to arise to avoid any unnecessary complexity.</w:t>
      </w:r>
    </w:p>
    <w:p w14:paraId="683EB50E" w14:textId="24E76769" w:rsidR="009F40F1" w:rsidRDefault="009F40F1" w:rsidP="00E34801">
      <w:pPr>
        <w:pStyle w:val="NumberedParagraph"/>
      </w:pPr>
      <w:r w:rsidRPr="009F40F1">
        <w:t>Additional complexity may arise if the person is unrepresented. Additional care should be exercised by prosecutors in such situations.</w:t>
      </w:r>
    </w:p>
    <w:p w14:paraId="2EF114A6" w14:textId="7F7A143E" w:rsidR="009F40F1" w:rsidRPr="004D0132" w:rsidRDefault="009F40F1" w:rsidP="009F40F1">
      <w:pPr>
        <w:pStyle w:val="Heading1"/>
      </w:pPr>
      <w:bookmarkStart w:id="2" w:name="_Toc147762835"/>
      <w:bookmarkStart w:id="3" w:name="_Toc147931068"/>
      <w:r w:rsidRPr="004D0132">
        <w:t xml:space="preserve">Unfitness to be tried: </w:t>
      </w:r>
      <w:r w:rsidR="00BF0AD5">
        <w:t>S</w:t>
      </w:r>
      <w:r w:rsidRPr="004D0132">
        <w:t xml:space="preserve">ection 20B </w:t>
      </w:r>
      <w:r w:rsidR="00BF0AD5">
        <w:t>of the</w:t>
      </w:r>
      <w:r w:rsidR="00682A9B">
        <w:t xml:space="preserve"> </w:t>
      </w:r>
      <w:r w:rsidR="0026548A" w:rsidRPr="0026548A">
        <w:rPr>
          <w:i/>
          <w:iCs/>
        </w:rPr>
        <w:t>Crimes Act</w:t>
      </w:r>
      <w:r w:rsidRPr="004D0132">
        <w:t xml:space="preserve"> – </w:t>
      </w:r>
      <w:r w:rsidR="00BF0AD5">
        <w:t>M</w:t>
      </w:r>
      <w:r w:rsidRPr="004D0132">
        <w:t>atters to be heard on indictment</w:t>
      </w:r>
      <w:bookmarkEnd w:id="2"/>
      <w:bookmarkEnd w:id="3"/>
    </w:p>
    <w:p w14:paraId="10258597" w14:textId="333A0D2E" w:rsidR="009F40F1" w:rsidRPr="00061333" w:rsidRDefault="009F40F1" w:rsidP="009F40F1">
      <w:pPr>
        <w:pStyle w:val="NumberedParagraph"/>
      </w:pPr>
      <w:r w:rsidRPr="00061333">
        <w:t>For matters to be heard on indictment, the disposition of a person found unfit to be tried for an offence</w:t>
      </w:r>
      <w:r w:rsidRPr="00061333">
        <w:rPr>
          <w:spacing w:val="-47"/>
        </w:rPr>
        <w:t xml:space="preserve"> </w:t>
      </w:r>
      <w:r w:rsidRPr="00061333">
        <w:t xml:space="preserve">against a law of the Commonwealth is governed by Division 6 of Part </w:t>
      </w:r>
      <w:r w:rsidR="000406DC">
        <w:t>I</w:t>
      </w:r>
      <w:r w:rsidRPr="00061333">
        <w:t xml:space="preserve">B of the </w:t>
      </w:r>
      <w:r w:rsidR="0026548A" w:rsidRPr="0026548A">
        <w:rPr>
          <w:i/>
        </w:rPr>
        <w:t>Crimes Act</w:t>
      </w:r>
      <w:r w:rsidRPr="00061333">
        <w:t>.</w:t>
      </w:r>
      <w:r w:rsidRPr="00061333">
        <w:rPr>
          <w:spacing w:val="1"/>
        </w:rPr>
        <w:t xml:space="preserve"> </w:t>
      </w:r>
      <w:r w:rsidRPr="00061333">
        <w:t>Examples of conditions that may result in the issue of unfitness to be tried being raised include mental</w:t>
      </w:r>
      <w:r w:rsidRPr="00061333">
        <w:rPr>
          <w:spacing w:val="1"/>
        </w:rPr>
        <w:t xml:space="preserve"> </w:t>
      </w:r>
      <w:r w:rsidRPr="00061333">
        <w:t>illness, intellectual</w:t>
      </w:r>
      <w:r w:rsidRPr="00061333">
        <w:rPr>
          <w:spacing w:val="-1"/>
        </w:rPr>
        <w:t xml:space="preserve"> </w:t>
      </w:r>
      <w:r w:rsidRPr="00061333">
        <w:t>disability,</w:t>
      </w:r>
      <w:r>
        <w:rPr>
          <w:rStyle w:val="FootnoteReference"/>
          <w:rFonts w:asciiTheme="minorHAnsi" w:hAnsiTheme="minorHAnsi" w:cstheme="minorHAnsi"/>
        </w:rPr>
        <w:footnoteReference w:id="4"/>
      </w:r>
      <w:r w:rsidRPr="00061333">
        <w:rPr>
          <w:spacing w:val="-2"/>
        </w:rPr>
        <w:t xml:space="preserve"> </w:t>
      </w:r>
      <w:r w:rsidRPr="00061333">
        <w:t>physical</w:t>
      </w:r>
      <w:r w:rsidRPr="00061333">
        <w:rPr>
          <w:spacing w:val="-2"/>
        </w:rPr>
        <w:t xml:space="preserve"> </w:t>
      </w:r>
      <w:r w:rsidRPr="00061333">
        <w:t>illness</w:t>
      </w:r>
      <w:r w:rsidRPr="00061333">
        <w:rPr>
          <w:spacing w:val="-2"/>
        </w:rPr>
        <w:t xml:space="preserve"> </w:t>
      </w:r>
      <w:r w:rsidRPr="00061333">
        <w:t>where it</w:t>
      </w:r>
      <w:r w:rsidRPr="00061333">
        <w:rPr>
          <w:spacing w:val="-1"/>
        </w:rPr>
        <w:t xml:space="preserve"> </w:t>
      </w:r>
      <w:r w:rsidRPr="00061333">
        <w:t>impacts</w:t>
      </w:r>
      <w:r w:rsidRPr="00061333">
        <w:rPr>
          <w:spacing w:val="-3"/>
        </w:rPr>
        <w:t xml:space="preserve"> </w:t>
      </w:r>
      <w:r w:rsidRPr="00061333">
        <w:t>upon</w:t>
      </w:r>
      <w:r w:rsidRPr="00061333">
        <w:rPr>
          <w:spacing w:val="-2"/>
        </w:rPr>
        <w:t xml:space="preserve"> </w:t>
      </w:r>
      <w:r w:rsidRPr="00061333">
        <w:t>a</w:t>
      </w:r>
      <w:r w:rsidRPr="00061333">
        <w:rPr>
          <w:spacing w:val="-1"/>
        </w:rPr>
        <w:t xml:space="preserve"> </w:t>
      </w:r>
      <w:r w:rsidRPr="00061333">
        <w:t>person’s</w:t>
      </w:r>
      <w:r w:rsidRPr="00061333">
        <w:rPr>
          <w:spacing w:val="-1"/>
        </w:rPr>
        <w:t xml:space="preserve"> </w:t>
      </w:r>
      <w:r w:rsidRPr="00061333">
        <w:t>competency,</w:t>
      </w:r>
      <w:r>
        <w:rPr>
          <w:rStyle w:val="FootnoteReference"/>
          <w:rFonts w:asciiTheme="minorHAnsi" w:hAnsiTheme="minorHAnsi" w:cstheme="minorHAnsi"/>
          <w:spacing w:val="-1"/>
        </w:rPr>
        <w:footnoteReference w:id="5"/>
      </w:r>
      <w:r>
        <w:rPr>
          <w:spacing w:val="-1"/>
        </w:rPr>
        <w:t xml:space="preserve"> </w:t>
      </w:r>
      <w:r w:rsidRPr="00061333">
        <w:t>and certain</w:t>
      </w:r>
      <w:r w:rsidRPr="00061333">
        <w:rPr>
          <w:spacing w:val="-4"/>
        </w:rPr>
        <w:t xml:space="preserve"> </w:t>
      </w:r>
      <w:r w:rsidRPr="00061333">
        <w:t>physical</w:t>
      </w:r>
      <w:r w:rsidRPr="00061333">
        <w:rPr>
          <w:spacing w:val="-1"/>
        </w:rPr>
        <w:t xml:space="preserve"> </w:t>
      </w:r>
      <w:r w:rsidRPr="00061333">
        <w:lastRenderedPageBreak/>
        <w:t>disabilities</w:t>
      </w:r>
      <w:r w:rsidRPr="00061333">
        <w:rPr>
          <w:spacing w:val="-5"/>
        </w:rPr>
        <w:t xml:space="preserve"> </w:t>
      </w:r>
      <w:r w:rsidRPr="00061333">
        <w:t>that</w:t>
      </w:r>
      <w:r w:rsidRPr="00061333">
        <w:rPr>
          <w:spacing w:val="-3"/>
        </w:rPr>
        <w:t xml:space="preserve"> </w:t>
      </w:r>
      <w:r w:rsidRPr="00061333">
        <w:t>may impact</w:t>
      </w:r>
      <w:r w:rsidRPr="00061333">
        <w:rPr>
          <w:spacing w:val="-1"/>
        </w:rPr>
        <w:t xml:space="preserve"> </w:t>
      </w:r>
      <w:r w:rsidRPr="00061333">
        <w:t>upon</w:t>
      </w:r>
      <w:r w:rsidRPr="00061333">
        <w:rPr>
          <w:spacing w:val="-2"/>
        </w:rPr>
        <w:t xml:space="preserve"> </w:t>
      </w:r>
      <w:r w:rsidRPr="00061333">
        <w:t>a</w:t>
      </w:r>
      <w:r w:rsidRPr="00061333">
        <w:rPr>
          <w:spacing w:val="-3"/>
        </w:rPr>
        <w:t xml:space="preserve"> </w:t>
      </w:r>
      <w:r w:rsidRPr="00061333">
        <w:t>person’s</w:t>
      </w:r>
      <w:r w:rsidRPr="00061333">
        <w:rPr>
          <w:spacing w:val="-1"/>
        </w:rPr>
        <w:t xml:space="preserve"> </w:t>
      </w:r>
      <w:r w:rsidRPr="00061333">
        <w:t>competency</w:t>
      </w:r>
      <w:r w:rsidRPr="00061333">
        <w:rPr>
          <w:spacing w:val="-4"/>
        </w:rPr>
        <w:t xml:space="preserve"> </w:t>
      </w:r>
      <w:r w:rsidRPr="00061333">
        <w:t>(for</w:t>
      </w:r>
      <w:r w:rsidRPr="00061333">
        <w:rPr>
          <w:spacing w:val="-1"/>
        </w:rPr>
        <w:t xml:space="preserve"> </w:t>
      </w:r>
      <w:r w:rsidRPr="00061333">
        <w:t>example,</w:t>
      </w:r>
      <w:r w:rsidRPr="00061333">
        <w:rPr>
          <w:spacing w:val="-1"/>
        </w:rPr>
        <w:t xml:space="preserve"> </w:t>
      </w:r>
      <w:r w:rsidRPr="00061333">
        <w:t>being</w:t>
      </w:r>
      <w:r w:rsidRPr="00061333">
        <w:rPr>
          <w:spacing w:val="-2"/>
        </w:rPr>
        <w:t xml:space="preserve"> </w:t>
      </w:r>
      <w:r w:rsidRPr="00061333">
        <w:t>deaf</w:t>
      </w:r>
      <w:r w:rsidRPr="00061333">
        <w:rPr>
          <w:spacing w:val="-1"/>
        </w:rPr>
        <w:t xml:space="preserve"> </w:t>
      </w:r>
      <w:r w:rsidRPr="00061333">
        <w:t>and mute).</w:t>
      </w:r>
      <w:r>
        <w:rPr>
          <w:rStyle w:val="FootnoteReference"/>
          <w:rFonts w:asciiTheme="minorHAnsi" w:hAnsiTheme="minorHAnsi" w:cstheme="minorHAnsi"/>
        </w:rPr>
        <w:footnoteReference w:id="6"/>
      </w:r>
      <w:r w:rsidRPr="00061333">
        <w:rPr>
          <w:spacing w:val="48"/>
        </w:rPr>
        <w:t xml:space="preserve"> </w:t>
      </w:r>
      <w:r w:rsidRPr="00061333">
        <w:t>The</w:t>
      </w:r>
      <w:r w:rsidRPr="00061333">
        <w:rPr>
          <w:spacing w:val="-4"/>
        </w:rPr>
        <w:t xml:space="preserve"> </w:t>
      </w:r>
      <w:r w:rsidRPr="00061333">
        <w:t>ambit</w:t>
      </w:r>
      <w:r w:rsidRPr="00061333">
        <w:rPr>
          <w:spacing w:val="-2"/>
        </w:rPr>
        <w:t xml:space="preserve"> </w:t>
      </w:r>
      <w:r w:rsidRPr="00061333">
        <w:t>of</w:t>
      </w:r>
      <w:r w:rsidRPr="00061333">
        <w:rPr>
          <w:spacing w:val="-1"/>
        </w:rPr>
        <w:t xml:space="preserve"> </w:t>
      </w:r>
      <w:r w:rsidRPr="00061333">
        <w:t>s</w:t>
      </w:r>
      <w:r w:rsidR="00DA1AC6">
        <w:t>ection</w:t>
      </w:r>
      <w:r>
        <w:t xml:space="preserve"> </w:t>
      </w:r>
      <w:r w:rsidRPr="00061333">
        <w:t>20B</w:t>
      </w:r>
      <w:r w:rsidRPr="00061333">
        <w:rPr>
          <w:spacing w:val="-4"/>
        </w:rPr>
        <w:t xml:space="preserve"> </w:t>
      </w:r>
      <w:r w:rsidRPr="00061333">
        <w:t>is</w:t>
      </w:r>
      <w:r w:rsidRPr="00061333">
        <w:rPr>
          <w:spacing w:val="-1"/>
        </w:rPr>
        <w:t xml:space="preserve"> </w:t>
      </w:r>
      <w:r w:rsidRPr="00061333">
        <w:t>therefore</w:t>
      </w:r>
      <w:r w:rsidRPr="00061333">
        <w:rPr>
          <w:spacing w:val="1"/>
        </w:rPr>
        <w:t xml:space="preserve"> </w:t>
      </w:r>
      <w:r w:rsidRPr="00061333">
        <w:t>broader</w:t>
      </w:r>
      <w:r w:rsidRPr="00061333">
        <w:rPr>
          <w:spacing w:val="-1"/>
        </w:rPr>
        <w:t xml:space="preserve"> </w:t>
      </w:r>
      <w:r w:rsidRPr="00061333">
        <w:t>than</w:t>
      </w:r>
      <w:r w:rsidRPr="00061333">
        <w:rPr>
          <w:spacing w:val="-4"/>
        </w:rPr>
        <w:t xml:space="preserve"> </w:t>
      </w:r>
      <w:r>
        <w:t>s</w:t>
      </w:r>
      <w:r w:rsidR="00DA1AC6">
        <w:t>ection</w:t>
      </w:r>
      <w:r>
        <w:t xml:space="preserve"> 20BQ</w:t>
      </w:r>
      <w:r w:rsidRPr="00061333">
        <w:t>.</w:t>
      </w:r>
    </w:p>
    <w:p w14:paraId="0A8299DF" w14:textId="28C2F2D0" w:rsidR="009F40F1" w:rsidRDefault="009F40F1" w:rsidP="009F40F1">
      <w:pPr>
        <w:pStyle w:val="NumberedParagraph"/>
      </w:pPr>
      <w:r w:rsidRPr="00061333">
        <w:t>However,</w:t>
      </w:r>
      <w:r w:rsidRPr="00582A5F">
        <w:rPr>
          <w:spacing w:val="2"/>
        </w:rPr>
        <w:t xml:space="preserve"> </w:t>
      </w:r>
      <w:r w:rsidRPr="00061333">
        <w:t>those</w:t>
      </w:r>
      <w:r w:rsidRPr="00582A5F">
        <w:rPr>
          <w:spacing w:val="4"/>
        </w:rPr>
        <w:t xml:space="preserve"> </w:t>
      </w:r>
      <w:r w:rsidRPr="00061333">
        <w:t>provisions</w:t>
      </w:r>
      <w:r w:rsidRPr="00582A5F">
        <w:rPr>
          <w:spacing w:val="-3"/>
        </w:rPr>
        <w:t xml:space="preserve"> </w:t>
      </w:r>
      <w:r w:rsidRPr="00061333">
        <w:t>are</w:t>
      </w:r>
      <w:r w:rsidRPr="00582A5F">
        <w:rPr>
          <w:spacing w:val="3"/>
        </w:rPr>
        <w:t xml:space="preserve"> </w:t>
      </w:r>
      <w:r w:rsidRPr="00061333">
        <w:t>silent</w:t>
      </w:r>
      <w:r w:rsidRPr="00582A5F">
        <w:rPr>
          <w:spacing w:val="-1"/>
        </w:rPr>
        <w:t xml:space="preserve"> </w:t>
      </w:r>
      <w:r w:rsidRPr="00061333">
        <w:t>as</w:t>
      </w:r>
      <w:r w:rsidRPr="00582A5F">
        <w:rPr>
          <w:spacing w:val="3"/>
        </w:rPr>
        <w:t xml:space="preserve"> </w:t>
      </w:r>
      <w:r w:rsidRPr="00061333">
        <w:t>to</w:t>
      </w:r>
      <w:r w:rsidRPr="00582A5F">
        <w:rPr>
          <w:spacing w:val="2"/>
        </w:rPr>
        <w:t xml:space="preserve"> </w:t>
      </w:r>
      <w:r w:rsidRPr="00061333">
        <w:t>the</w:t>
      </w:r>
      <w:r w:rsidRPr="00582A5F">
        <w:rPr>
          <w:spacing w:val="5"/>
        </w:rPr>
        <w:t xml:space="preserve"> </w:t>
      </w:r>
      <w:r w:rsidRPr="00061333">
        <w:t>applicable</w:t>
      </w:r>
      <w:r w:rsidRPr="00582A5F">
        <w:rPr>
          <w:spacing w:val="3"/>
        </w:rPr>
        <w:t xml:space="preserve"> </w:t>
      </w:r>
      <w:r w:rsidRPr="00582A5F">
        <w:rPr>
          <w:i/>
        </w:rPr>
        <w:t xml:space="preserve">procedure </w:t>
      </w:r>
      <w:r w:rsidRPr="00061333">
        <w:t>for determining</w:t>
      </w:r>
      <w:r w:rsidRPr="00582A5F">
        <w:rPr>
          <w:spacing w:val="2"/>
        </w:rPr>
        <w:t xml:space="preserve"> </w:t>
      </w:r>
      <w:r w:rsidRPr="00061333">
        <w:t>whether an</w:t>
      </w:r>
      <w:r w:rsidRPr="00582A5F">
        <w:rPr>
          <w:spacing w:val="1"/>
        </w:rPr>
        <w:t xml:space="preserve"> </w:t>
      </w:r>
      <w:r w:rsidRPr="00061333">
        <w:t>accused is unfit to be tried. Accordingly, the applicable criteria and procedures for determining fitness</w:t>
      </w:r>
      <w:r w:rsidRPr="00582A5F">
        <w:rPr>
          <w:spacing w:val="1"/>
        </w:rPr>
        <w:t xml:space="preserve"> </w:t>
      </w:r>
      <w:r w:rsidRPr="00061333">
        <w:t>for trial for a Commonwealth offence are those that apply to a trial in the State in which the person is</w:t>
      </w:r>
      <w:r w:rsidRPr="00582A5F">
        <w:rPr>
          <w:spacing w:val="1"/>
        </w:rPr>
        <w:t xml:space="preserve"> </w:t>
      </w:r>
      <w:r w:rsidRPr="00061333">
        <w:t>being tried</w:t>
      </w:r>
      <w:r w:rsidR="00B43C3B">
        <w:t>.</w:t>
      </w:r>
      <w:r>
        <w:rPr>
          <w:rStyle w:val="FootnoteReference"/>
        </w:rPr>
        <w:footnoteReference w:id="7"/>
      </w:r>
      <w:r w:rsidRPr="00582A5F">
        <w:rPr>
          <w:spacing w:val="1"/>
        </w:rPr>
        <w:t xml:space="preserve"> </w:t>
      </w:r>
      <w:r w:rsidRPr="00061333">
        <w:t xml:space="preserve">This includes the State/Territory test to be applied in determining whether an accused is </w:t>
      </w:r>
      <w:r w:rsidR="0026548A">
        <w:t>fit to p</w:t>
      </w:r>
      <w:r w:rsidRPr="00061333">
        <w:t>lead or to be tried.</w:t>
      </w:r>
      <w:r w:rsidRPr="00582A5F">
        <w:rPr>
          <w:spacing w:val="1"/>
        </w:rPr>
        <w:t xml:space="preserve"> </w:t>
      </w:r>
      <w:r w:rsidRPr="00061333">
        <w:t xml:space="preserve">The State provisions are picked up by sections 68(1) and 79 of the </w:t>
      </w:r>
      <w:r w:rsidRPr="00582A5F">
        <w:rPr>
          <w:i/>
        </w:rPr>
        <w:t xml:space="preserve">Judiciary </w:t>
      </w:r>
      <w:r w:rsidR="00ED71BA">
        <w:rPr>
          <w:i/>
        </w:rPr>
        <w:t>Act 1903</w:t>
      </w:r>
      <w:r w:rsidRPr="00582A5F">
        <w:rPr>
          <w:i/>
        </w:rPr>
        <w:t xml:space="preserve"> </w:t>
      </w:r>
      <w:r w:rsidRPr="00061333">
        <w:t>(</w:t>
      </w:r>
      <w:proofErr w:type="spellStart"/>
      <w:r w:rsidRPr="00061333">
        <w:t>Cth</w:t>
      </w:r>
      <w:proofErr w:type="spellEnd"/>
      <w:r w:rsidRPr="00061333">
        <w:t>)</w:t>
      </w:r>
      <w:r w:rsidR="00105953">
        <w:t xml:space="preserve"> (‘</w:t>
      </w:r>
      <w:r w:rsidR="00105953" w:rsidRPr="00BF0AD5">
        <w:rPr>
          <w:b/>
          <w:bCs w:val="0"/>
          <w:i/>
          <w:iCs/>
        </w:rPr>
        <w:t>Judiciary Act</w:t>
      </w:r>
      <w:r w:rsidR="00105953" w:rsidRPr="00BF0AD5">
        <w:rPr>
          <w:i/>
          <w:iCs/>
        </w:rPr>
        <w:t>’</w:t>
      </w:r>
      <w:r w:rsidR="00105953">
        <w:t>)</w:t>
      </w:r>
      <w:r w:rsidRPr="00061333">
        <w:t>, to the extent that they are not inconsistent with the Constitution or other Commonwealth</w:t>
      </w:r>
      <w:r w:rsidRPr="00582A5F">
        <w:rPr>
          <w:spacing w:val="1"/>
        </w:rPr>
        <w:t xml:space="preserve"> </w:t>
      </w:r>
      <w:r w:rsidRPr="00061333">
        <w:t>legislation,</w:t>
      </w:r>
      <w:r w:rsidRPr="00582A5F">
        <w:rPr>
          <w:spacing w:val="-4"/>
        </w:rPr>
        <w:t xml:space="preserve"> </w:t>
      </w:r>
      <w:r w:rsidRPr="00061333">
        <w:t>including</w:t>
      </w:r>
      <w:r w:rsidRPr="00582A5F">
        <w:rPr>
          <w:spacing w:val="-1"/>
        </w:rPr>
        <w:t xml:space="preserve"> </w:t>
      </w:r>
      <w:r w:rsidRPr="00061333">
        <w:t>Division</w:t>
      </w:r>
      <w:r w:rsidRPr="00582A5F">
        <w:rPr>
          <w:spacing w:val="-1"/>
        </w:rPr>
        <w:t xml:space="preserve"> </w:t>
      </w:r>
      <w:r w:rsidRPr="00061333">
        <w:t>6</w:t>
      </w:r>
      <w:r w:rsidRPr="00582A5F">
        <w:rPr>
          <w:spacing w:val="-1"/>
        </w:rPr>
        <w:t xml:space="preserve"> </w:t>
      </w:r>
      <w:r w:rsidRPr="00061333">
        <w:t>of</w:t>
      </w:r>
      <w:r w:rsidRPr="00582A5F">
        <w:rPr>
          <w:spacing w:val="-3"/>
        </w:rPr>
        <w:t xml:space="preserve"> </w:t>
      </w:r>
      <w:r w:rsidRPr="00061333">
        <w:t>Part IB</w:t>
      </w:r>
      <w:r w:rsidRPr="00582A5F">
        <w:rPr>
          <w:spacing w:val="-3"/>
        </w:rPr>
        <w:t xml:space="preserve"> </w:t>
      </w:r>
      <w:r w:rsidRPr="00061333">
        <w:t>of the</w:t>
      </w:r>
      <w:r w:rsidRPr="00582A5F">
        <w:rPr>
          <w:spacing w:val="2"/>
        </w:rPr>
        <w:t xml:space="preserve"> </w:t>
      </w:r>
      <w:r w:rsidR="0026548A" w:rsidRPr="0026548A">
        <w:rPr>
          <w:i/>
        </w:rPr>
        <w:t>Crimes Act</w:t>
      </w:r>
      <w:r w:rsidRPr="00061333">
        <w:t>.</w:t>
      </w:r>
    </w:p>
    <w:p w14:paraId="4F55B356" w14:textId="6F198EA4" w:rsidR="009F40F1" w:rsidRPr="00061333" w:rsidRDefault="009F40F1" w:rsidP="009F40F1">
      <w:pPr>
        <w:pStyle w:val="NumberedParagraph"/>
      </w:pPr>
      <w:r w:rsidRPr="00061333">
        <w:t xml:space="preserve">If a person is found unfit to be tried in accordance with State law, the </w:t>
      </w:r>
      <w:r w:rsidRPr="00061333">
        <w:rPr>
          <w:i/>
        </w:rPr>
        <w:t>consequences flowing from that</w:t>
      </w:r>
      <w:r w:rsidRPr="00061333">
        <w:rPr>
          <w:i/>
          <w:spacing w:val="-47"/>
        </w:rPr>
        <w:t xml:space="preserve"> </w:t>
      </w:r>
      <w:r w:rsidRPr="00061333">
        <w:rPr>
          <w:i/>
        </w:rPr>
        <w:t xml:space="preserve">determination </w:t>
      </w:r>
      <w:r w:rsidRPr="00061333">
        <w:t xml:space="preserve">are governed by the relevant provisions of Division 6 of Part </w:t>
      </w:r>
      <w:r w:rsidR="000406DC">
        <w:t>I</w:t>
      </w:r>
      <w:r w:rsidRPr="00061333">
        <w:t xml:space="preserve">B the </w:t>
      </w:r>
      <w:r w:rsidR="0026548A" w:rsidRPr="0026548A">
        <w:rPr>
          <w:i/>
        </w:rPr>
        <w:t>Crimes Act</w:t>
      </w:r>
      <w:r w:rsidRPr="00061333">
        <w:t>.</w:t>
      </w:r>
      <w:r>
        <w:rPr>
          <w:rStyle w:val="FootnoteReference"/>
        </w:rPr>
        <w:footnoteReference w:id="8"/>
      </w:r>
      <w:r w:rsidRPr="00061333">
        <w:rPr>
          <w:spacing w:val="-2"/>
        </w:rPr>
        <w:t xml:space="preserve"> </w:t>
      </w:r>
      <w:r w:rsidRPr="00061333">
        <w:t>These provisions</w:t>
      </w:r>
      <w:r w:rsidRPr="00061333">
        <w:rPr>
          <w:spacing w:val="-2"/>
        </w:rPr>
        <w:t xml:space="preserve"> </w:t>
      </w:r>
      <w:r w:rsidRPr="00061333">
        <w:t>override</w:t>
      </w:r>
      <w:r w:rsidRPr="00061333">
        <w:rPr>
          <w:spacing w:val="1"/>
        </w:rPr>
        <w:t xml:space="preserve"> </w:t>
      </w:r>
      <w:r w:rsidRPr="00061333">
        <w:t>any</w:t>
      </w:r>
      <w:r w:rsidRPr="00061333">
        <w:rPr>
          <w:spacing w:val="-1"/>
        </w:rPr>
        <w:t xml:space="preserve"> </w:t>
      </w:r>
      <w:r w:rsidRPr="00061333">
        <w:t>inconsistent State</w:t>
      </w:r>
      <w:r w:rsidRPr="00061333">
        <w:rPr>
          <w:spacing w:val="-2"/>
        </w:rPr>
        <w:t xml:space="preserve"> </w:t>
      </w:r>
      <w:r w:rsidRPr="00061333">
        <w:t>law.</w:t>
      </w:r>
    </w:p>
    <w:p w14:paraId="25CDD458" w14:textId="16CA5C75" w:rsidR="009F40F1" w:rsidRDefault="009F40F1" w:rsidP="009F40F1">
      <w:pPr>
        <w:pStyle w:val="NumberedParagraph"/>
      </w:pPr>
      <w:r w:rsidRPr="00061333">
        <w:t>Division</w:t>
      </w:r>
      <w:r w:rsidRPr="00061333">
        <w:rPr>
          <w:spacing w:val="-4"/>
        </w:rPr>
        <w:t xml:space="preserve"> </w:t>
      </w:r>
      <w:r w:rsidRPr="00061333">
        <w:t>6</w:t>
      </w:r>
      <w:r w:rsidRPr="00061333">
        <w:rPr>
          <w:spacing w:val="-2"/>
        </w:rPr>
        <w:t xml:space="preserve"> </w:t>
      </w:r>
      <w:r w:rsidRPr="00061333">
        <w:t>of</w:t>
      </w:r>
      <w:r w:rsidRPr="00061333">
        <w:rPr>
          <w:spacing w:val="-3"/>
        </w:rPr>
        <w:t xml:space="preserve"> </w:t>
      </w:r>
      <w:r w:rsidRPr="00061333">
        <w:t>Part</w:t>
      </w:r>
      <w:r w:rsidRPr="00061333">
        <w:rPr>
          <w:spacing w:val="-3"/>
        </w:rPr>
        <w:t xml:space="preserve"> </w:t>
      </w:r>
      <w:r w:rsidR="000406DC">
        <w:t>I</w:t>
      </w:r>
      <w:r w:rsidRPr="00061333">
        <w:t>B</w:t>
      </w:r>
      <w:r w:rsidRPr="00061333">
        <w:rPr>
          <w:spacing w:val="-3"/>
        </w:rPr>
        <w:t xml:space="preserve"> </w:t>
      </w:r>
      <w:r w:rsidRPr="00061333">
        <w:t>of</w:t>
      </w:r>
      <w:r w:rsidRPr="00061333">
        <w:rPr>
          <w:spacing w:val="-1"/>
        </w:rPr>
        <w:t xml:space="preserve"> </w:t>
      </w:r>
      <w:r w:rsidRPr="00061333">
        <w:t>the</w:t>
      </w:r>
      <w:r w:rsidRPr="00061333">
        <w:rPr>
          <w:spacing w:val="-3"/>
        </w:rPr>
        <w:t xml:space="preserve"> </w:t>
      </w:r>
      <w:r w:rsidR="0026548A" w:rsidRPr="0026548A">
        <w:rPr>
          <w:i/>
        </w:rPr>
        <w:t>Crimes Act</w:t>
      </w:r>
      <w:r w:rsidRPr="00061333">
        <w:rPr>
          <w:spacing w:val="-1"/>
        </w:rPr>
        <w:t xml:space="preserve"> </w:t>
      </w:r>
      <w:r w:rsidRPr="00061333">
        <w:t>provides the procedure</w:t>
      </w:r>
      <w:r w:rsidRPr="00061333">
        <w:rPr>
          <w:spacing w:val="-1"/>
        </w:rPr>
        <w:t xml:space="preserve"> </w:t>
      </w:r>
      <w:r w:rsidRPr="00061333">
        <w:t>where an</w:t>
      </w:r>
      <w:r w:rsidRPr="00061333">
        <w:rPr>
          <w:spacing w:val="-2"/>
        </w:rPr>
        <w:t xml:space="preserve"> </w:t>
      </w:r>
      <w:r w:rsidRPr="00061333">
        <w:t>issue</w:t>
      </w:r>
      <w:r>
        <w:t xml:space="preserve"> as</w:t>
      </w:r>
      <w:r>
        <w:rPr>
          <w:spacing w:val="-1"/>
        </w:rPr>
        <w:t xml:space="preserve"> </w:t>
      </w:r>
      <w:r>
        <w:t>to</w:t>
      </w:r>
      <w:r>
        <w:rPr>
          <w:spacing w:val="-3"/>
        </w:rPr>
        <w:t xml:space="preserve"> </w:t>
      </w:r>
      <w:r>
        <w:t>a</w:t>
      </w:r>
      <w:r>
        <w:rPr>
          <w:spacing w:val="-1"/>
        </w:rPr>
        <w:t xml:space="preserve"> </w:t>
      </w:r>
      <w:r>
        <w:t>person’s</w:t>
      </w:r>
      <w:r>
        <w:rPr>
          <w:spacing w:val="-3"/>
        </w:rPr>
        <w:t xml:space="preserve"> </w:t>
      </w:r>
      <w:r>
        <w:t>fitness</w:t>
      </w:r>
      <w:r>
        <w:rPr>
          <w:spacing w:val="-4"/>
        </w:rPr>
        <w:t xml:space="preserve"> </w:t>
      </w:r>
      <w:r>
        <w:t>arises at</w:t>
      </w:r>
      <w:r>
        <w:rPr>
          <w:spacing w:val="-3"/>
        </w:rPr>
        <w:t xml:space="preserve"> </w:t>
      </w:r>
      <w:r>
        <w:t>committal</w:t>
      </w:r>
      <w:r>
        <w:rPr>
          <w:spacing w:val="1"/>
        </w:rPr>
        <w:t xml:space="preserve"> </w:t>
      </w:r>
      <w:r>
        <w:t>or</w:t>
      </w:r>
      <w:r>
        <w:rPr>
          <w:spacing w:val="-4"/>
        </w:rPr>
        <w:t xml:space="preserve"> </w:t>
      </w:r>
      <w:r>
        <w:t>later</w:t>
      </w:r>
      <w:r>
        <w:rPr>
          <w:spacing w:val="-1"/>
        </w:rPr>
        <w:t xml:space="preserve"> </w:t>
      </w:r>
      <w:r>
        <w:t>in</w:t>
      </w:r>
      <w:r>
        <w:rPr>
          <w:spacing w:val="-3"/>
        </w:rPr>
        <w:t xml:space="preserve"> </w:t>
      </w:r>
      <w:r>
        <w:t>proceedings.</w:t>
      </w:r>
      <w:r>
        <w:rPr>
          <w:rStyle w:val="FootnoteReference"/>
          <w:spacing w:val="-2"/>
        </w:rPr>
        <w:footnoteReference w:id="9"/>
      </w:r>
      <w:r w:rsidR="00ED71BA">
        <w:rPr>
          <w:spacing w:val="-2"/>
        </w:rPr>
        <w:t xml:space="preserve"> </w:t>
      </w:r>
      <w:r>
        <w:t>Flowcharts are provided</w:t>
      </w:r>
      <w:r>
        <w:rPr>
          <w:spacing w:val="-1"/>
        </w:rPr>
        <w:t xml:space="preserve"> </w:t>
      </w:r>
      <w:r w:rsidR="00CA4C42">
        <w:t>in</w:t>
      </w:r>
      <w:r>
        <w:t xml:space="preserve"> Annexure A. Note that the Decision Making Matrix does not address a decision to raise an issue of a person’s fitness to be tried.</w:t>
      </w:r>
      <w:r>
        <w:rPr>
          <w:rStyle w:val="FootnoteReference"/>
        </w:rPr>
        <w:footnoteReference w:id="10"/>
      </w:r>
    </w:p>
    <w:p w14:paraId="6457EF3C" w14:textId="2C068731" w:rsidR="009F40F1" w:rsidRPr="004D0132" w:rsidRDefault="009F40F1" w:rsidP="00E34801">
      <w:pPr>
        <w:pStyle w:val="Heading2"/>
      </w:pPr>
      <w:bookmarkStart w:id="4" w:name="_Toc97028345"/>
      <w:bookmarkStart w:id="5" w:name="_Toc147762836"/>
      <w:bookmarkStart w:id="6" w:name="_Toc147931069"/>
      <w:r w:rsidRPr="004D0132">
        <w:t>S</w:t>
      </w:r>
      <w:bookmarkEnd w:id="4"/>
      <w:r w:rsidRPr="004D0132">
        <w:t>tage at which the question of fitness is raised</w:t>
      </w:r>
      <w:bookmarkEnd w:id="5"/>
      <w:bookmarkEnd w:id="6"/>
    </w:p>
    <w:p w14:paraId="1E218152" w14:textId="77777777" w:rsidR="009F40F1" w:rsidRDefault="009F40F1" w:rsidP="009F40F1">
      <w:pPr>
        <w:pStyle w:val="NumberedParagraph"/>
      </w:pPr>
      <w:r>
        <w:rPr>
          <w:spacing w:val="-1"/>
        </w:rPr>
        <w:t>The</w:t>
      </w:r>
      <w:r>
        <w:rPr>
          <w:spacing w:val="1"/>
        </w:rPr>
        <w:t xml:space="preserve"> </w:t>
      </w:r>
      <w:r>
        <w:rPr>
          <w:spacing w:val="-1"/>
        </w:rPr>
        <w:t>question</w:t>
      </w:r>
      <w:r>
        <w:rPr>
          <w:spacing w:val="-3"/>
        </w:rPr>
        <w:t xml:space="preserve"> </w:t>
      </w:r>
      <w:r>
        <w:rPr>
          <w:spacing w:val="-1"/>
        </w:rPr>
        <w:t>of</w:t>
      </w:r>
      <w:r>
        <w:t xml:space="preserve"> </w:t>
      </w:r>
      <w:r>
        <w:rPr>
          <w:spacing w:val="-1"/>
        </w:rPr>
        <w:t>fitness</w:t>
      </w:r>
      <w:r>
        <w:rPr>
          <w:spacing w:val="2"/>
        </w:rPr>
        <w:t xml:space="preserve"> </w:t>
      </w:r>
      <w:r>
        <w:t>can</w:t>
      </w:r>
      <w:r>
        <w:rPr>
          <w:spacing w:val="-5"/>
        </w:rPr>
        <w:t xml:space="preserve"> </w:t>
      </w:r>
      <w:r>
        <w:t>be</w:t>
      </w:r>
      <w:r>
        <w:rPr>
          <w:spacing w:val="1"/>
        </w:rPr>
        <w:t xml:space="preserve"> </w:t>
      </w:r>
      <w:r>
        <w:t>raised</w:t>
      </w:r>
      <w:r>
        <w:rPr>
          <w:spacing w:val="1"/>
        </w:rPr>
        <w:t xml:space="preserve"> </w:t>
      </w:r>
      <w:r>
        <w:t>at any</w:t>
      </w:r>
      <w:r>
        <w:rPr>
          <w:spacing w:val="-2"/>
        </w:rPr>
        <w:t xml:space="preserve"> </w:t>
      </w:r>
      <w:r>
        <w:t>stage</w:t>
      </w:r>
      <w:r>
        <w:rPr>
          <w:spacing w:val="-1"/>
        </w:rPr>
        <w:t xml:space="preserve"> </w:t>
      </w:r>
      <w:r>
        <w:t>in the</w:t>
      </w:r>
      <w:r>
        <w:rPr>
          <w:spacing w:val="1"/>
        </w:rPr>
        <w:t xml:space="preserve"> </w:t>
      </w:r>
      <w:r>
        <w:t>proceedings.</w:t>
      </w:r>
      <w:r>
        <w:rPr>
          <w:rStyle w:val="FootnoteReference"/>
        </w:rPr>
        <w:footnoteReference w:id="11"/>
      </w:r>
    </w:p>
    <w:p w14:paraId="066AF82A" w14:textId="0FFCEC46" w:rsidR="009F40F1" w:rsidRDefault="009F40F1" w:rsidP="009F40F1">
      <w:pPr>
        <w:pStyle w:val="NumberedParagraph"/>
      </w:pPr>
      <w:r>
        <w:t xml:space="preserve">The question </w:t>
      </w:r>
      <w:r w:rsidR="00D60426">
        <w:t xml:space="preserve">of </w:t>
      </w:r>
      <w:r>
        <w:t>whether the person is fit to be tried is a matter that can be raised by the Prosecution, the</w:t>
      </w:r>
      <w:r>
        <w:rPr>
          <w:spacing w:val="-47"/>
        </w:rPr>
        <w:t xml:space="preserve"> </w:t>
      </w:r>
      <w:r>
        <w:t>person,</w:t>
      </w:r>
      <w:r>
        <w:rPr>
          <w:spacing w:val="-3"/>
        </w:rPr>
        <w:t xml:space="preserve"> </w:t>
      </w:r>
      <w:r>
        <w:t>or</w:t>
      </w:r>
      <w:r>
        <w:rPr>
          <w:spacing w:val="-2"/>
        </w:rPr>
        <w:t xml:space="preserve"> </w:t>
      </w:r>
      <w:r>
        <w:t>the judge.</w:t>
      </w:r>
      <w:r>
        <w:rPr>
          <w:rStyle w:val="FootnoteReference"/>
        </w:rPr>
        <w:footnoteReference w:id="12"/>
      </w:r>
    </w:p>
    <w:p w14:paraId="50BF20C6" w14:textId="5C4A672D" w:rsidR="009F40F1" w:rsidRPr="001D577B" w:rsidRDefault="00BF0AD5" w:rsidP="009F40F1">
      <w:pPr>
        <w:pStyle w:val="NumberedParagraph"/>
      </w:pPr>
      <w:r>
        <w:t xml:space="preserve">Paragraph 7.2 of the </w:t>
      </w:r>
      <w:hyperlink r:id="rId10">
        <w:r w:rsidRPr="004703D9">
          <w:rPr>
            <w:u w:val="single" w:color="006FC0"/>
          </w:rPr>
          <w:t>Prosecution</w:t>
        </w:r>
        <w:r w:rsidRPr="004703D9">
          <w:rPr>
            <w:spacing w:val="-4"/>
            <w:u w:val="single" w:color="006FC0"/>
          </w:rPr>
          <w:t xml:space="preserve"> </w:t>
        </w:r>
        <w:r w:rsidRPr="004703D9">
          <w:rPr>
            <w:u w:val="single" w:color="006FC0"/>
          </w:rPr>
          <w:t>Policy</w:t>
        </w:r>
        <w:r w:rsidRPr="004703D9">
          <w:rPr>
            <w:spacing w:val="-2"/>
            <w:u w:val="single" w:color="006FC0"/>
          </w:rPr>
          <w:t xml:space="preserve"> </w:t>
        </w:r>
        <w:r w:rsidRPr="004703D9">
          <w:rPr>
            <w:u w:val="single" w:color="006FC0"/>
          </w:rPr>
          <w:t>of</w:t>
        </w:r>
        <w:r w:rsidRPr="004703D9">
          <w:rPr>
            <w:spacing w:val="-3"/>
            <w:u w:val="single" w:color="006FC0"/>
          </w:rPr>
          <w:t xml:space="preserve"> </w:t>
        </w:r>
        <w:r w:rsidRPr="004703D9">
          <w:rPr>
            <w:u w:val="single" w:color="006FC0"/>
          </w:rPr>
          <w:t>the</w:t>
        </w:r>
        <w:r w:rsidRPr="004703D9">
          <w:rPr>
            <w:spacing w:val="-1"/>
            <w:u w:val="single" w:color="006FC0"/>
          </w:rPr>
          <w:t xml:space="preserve"> </w:t>
        </w:r>
        <w:r w:rsidRPr="004703D9">
          <w:rPr>
            <w:u w:val="single" w:color="006FC0"/>
          </w:rPr>
          <w:t>Commonwealth</w:t>
        </w:r>
        <w:r w:rsidRPr="004703D9">
          <w:rPr>
            <w:spacing w:val="-1"/>
          </w:rPr>
          <w:t xml:space="preserve"> </w:t>
        </w:r>
      </w:hyperlink>
      <w:r w:rsidR="00DD4F1F">
        <w:rPr>
          <w:spacing w:val="-1"/>
        </w:rPr>
        <w:t>(‘</w:t>
      </w:r>
      <w:r w:rsidR="00DD4F1F" w:rsidRPr="00DD4F1F">
        <w:rPr>
          <w:b/>
          <w:bCs w:val="0"/>
          <w:spacing w:val="-1"/>
        </w:rPr>
        <w:t>Prosecution Policy</w:t>
      </w:r>
      <w:r w:rsidR="00DD4F1F">
        <w:rPr>
          <w:spacing w:val="-1"/>
        </w:rPr>
        <w:t>’)</w:t>
      </w:r>
      <w:r w:rsidR="009F40F1" w:rsidRPr="001D577B">
        <w:rPr>
          <w:spacing w:val="-2"/>
        </w:rPr>
        <w:t xml:space="preserve"> </w:t>
      </w:r>
      <w:r w:rsidR="009F40F1" w:rsidRPr="001D577B">
        <w:t>provides that</w:t>
      </w:r>
      <w:r w:rsidR="009F40F1" w:rsidRPr="001D577B">
        <w:rPr>
          <w:spacing w:val="-5"/>
        </w:rPr>
        <w:t xml:space="preserve"> </w:t>
      </w:r>
      <w:r w:rsidR="00CA4C42">
        <w:t>‘</w:t>
      </w:r>
      <w:r w:rsidR="009F40F1" w:rsidRPr="001D577B">
        <w:t>in</w:t>
      </w:r>
      <w:r w:rsidR="009F40F1" w:rsidRPr="001D577B">
        <w:rPr>
          <w:spacing w:val="-3"/>
        </w:rPr>
        <w:t xml:space="preserve"> </w:t>
      </w:r>
      <w:r w:rsidR="009F40F1" w:rsidRPr="001D577B">
        <w:t>the</w:t>
      </w:r>
      <w:r w:rsidR="009F40F1" w:rsidRPr="001D577B">
        <w:rPr>
          <w:spacing w:val="-1"/>
        </w:rPr>
        <w:t xml:space="preserve"> </w:t>
      </w:r>
      <w:r w:rsidR="009F40F1" w:rsidRPr="001D577B">
        <w:t>unusual</w:t>
      </w:r>
      <w:r w:rsidR="009F40F1" w:rsidRPr="001D577B">
        <w:rPr>
          <w:spacing w:val="-2"/>
        </w:rPr>
        <w:t xml:space="preserve"> </w:t>
      </w:r>
      <w:r w:rsidR="009F40F1" w:rsidRPr="001D577B">
        <w:t>circumstances</w:t>
      </w:r>
      <w:r w:rsidR="009F40F1" w:rsidRPr="001D577B">
        <w:rPr>
          <w:spacing w:val="-1"/>
        </w:rPr>
        <w:t xml:space="preserve"> </w:t>
      </w:r>
      <w:r w:rsidR="009F40F1" w:rsidRPr="001D577B">
        <w:t>where</w:t>
      </w:r>
      <w:r w:rsidR="009F40F1" w:rsidRPr="001D577B">
        <w:rPr>
          <w:spacing w:val="-1"/>
        </w:rPr>
        <w:t xml:space="preserve"> </w:t>
      </w:r>
      <w:r w:rsidR="009F40F1" w:rsidRPr="001D577B">
        <w:t>there</w:t>
      </w:r>
      <w:r w:rsidR="009F40F1" w:rsidRPr="001D577B">
        <w:rPr>
          <w:spacing w:val="-1"/>
        </w:rPr>
        <w:t xml:space="preserve"> </w:t>
      </w:r>
      <w:r w:rsidR="009F40F1" w:rsidRPr="001D577B">
        <w:t>is</w:t>
      </w:r>
      <w:r w:rsidR="009F40F1" w:rsidRPr="001D577B">
        <w:rPr>
          <w:spacing w:val="-2"/>
        </w:rPr>
        <w:t xml:space="preserve"> </w:t>
      </w:r>
      <w:r w:rsidR="009F40F1" w:rsidRPr="001D577B">
        <w:t>an</w:t>
      </w:r>
      <w:r w:rsidR="009F40F1">
        <w:t xml:space="preserve"> obvious</w:t>
      </w:r>
      <w:r w:rsidR="009F40F1">
        <w:rPr>
          <w:spacing w:val="-1"/>
        </w:rPr>
        <w:t xml:space="preserve"> </w:t>
      </w:r>
      <w:r w:rsidR="009F40F1">
        <w:t>fitness</w:t>
      </w:r>
      <w:r w:rsidR="009F40F1">
        <w:rPr>
          <w:spacing w:val="-1"/>
        </w:rPr>
        <w:t xml:space="preserve"> </w:t>
      </w:r>
      <w:r w:rsidR="009F40F1">
        <w:t>issue</w:t>
      </w:r>
      <w:r w:rsidR="00CA4C42">
        <w:t>,</w:t>
      </w:r>
      <w:r w:rsidR="009F40F1">
        <w:rPr>
          <w:spacing w:val="-3"/>
        </w:rPr>
        <w:t xml:space="preserve"> </w:t>
      </w:r>
      <w:r w:rsidR="009F40F1">
        <w:t>and</w:t>
      </w:r>
      <w:r w:rsidR="009F40F1">
        <w:rPr>
          <w:spacing w:val="-2"/>
        </w:rPr>
        <w:t xml:space="preserve"> </w:t>
      </w:r>
      <w:r w:rsidR="009F40F1">
        <w:t>it</w:t>
      </w:r>
      <w:r w:rsidR="009F40F1">
        <w:rPr>
          <w:spacing w:val="-2"/>
        </w:rPr>
        <w:t xml:space="preserve"> </w:t>
      </w:r>
      <w:r w:rsidR="009F40F1">
        <w:t>is</w:t>
      </w:r>
      <w:r w:rsidR="009F40F1">
        <w:rPr>
          <w:spacing w:val="-1"/>
        </w:rPr>
        <w:t xml:space="preserve"> </w:t>
      </w:r>
      <w:r w:rsidR="009F40F1">
        <w:t>not</w:t>
      </w:r>
      <w:r w:rsidR="009F40F1">
        <w:rPr>
          <w:spacing w:val="-1"/>
        </w:rPr>
        <w:t xml:space="preserve"> </w:t>
      </w:r>
      <w:r w:rsidR="009F40F1">
        <w:t>raised</w:t>
      </w:r>
      <w:r w:rsidR="009F40F1">
        <w:rPr>
          <w:spacing w:val="-2"/>
        </w:rPr>
        <w:t xml:space="preserve"> </w:t>
      </w:r>
      <w:r w:rsidR="009F40F1">
        <w:t>by</w:t>
      </w:r>
      <w:r w:rsidR="009F40F1">
        <w:rPr>
          <w:spacing w:val="-1"/>
        </w:rPr>
        <w:t xml:space="preserve"> </w:t>
      </w:r>
      <w:r w:rsidR="009F40F1">
        <w:t>the</w:t>
      </w:r>
      <w:r w:rsidR="009F40F1">
        <w:rPr>
          <w:spacing w:val="-3"/>
        </w:rPr>
        <w:t xml:space="preserve"> </w:t>
      </w:r>
      <w:r w:rsidR="009F40F1">
        <w:t>defence</w:t>
      </w:r>
      <w:r w:rsidR="00CA4C42">
        <w:t>,</w:t>
      </w:r>
      <w:r w:rsidR="009F40F1">
        <w:t xml:space="preserve"> then it</w:t>
      </w:r>
      <w:r w:rsidR="009F40F1">
        <w:rPr>
          <w:spacing w:val="-1"/>
        </w:rPr>
        <w:t xml:space="preserve"> </w:t>
      </w:r>
      <w:r w:rsidR="009F40F1">
        <w:t>should</w:t>
      </w:r>
      <w:r w:rsidR="009F40F1">
        <w:rPr>
          <w:spacing w:val="-3"/>
        </w:rPr>
        <w:t xml:space="preserve"> </w:t>
      </w:r>
      <w:r w:rsidR="009F40F1">
        <w:t>be raised</w:t>
      </w:r>
      <w:r w:rsidR="009F40F1">
        <w:rPr>
          <w:spacing w:val="-4"/>
        </w:rPr>
        <w:t xml:space="preserve"> </w:t>
      </w:r>
      <w:r w:rsidR="009F40F1">
        <w:t>by</w:t>
      </w:r>
      <w:r w:rsidR="009F40F1">
        <w:rPr>
          <w:spacing w:val="-1"/>
        </w:rPr>
        <w:t xml:space="preserve"> </w:t>
      </w:r>
      <w:r w:rsidR="009F40F1">
        <w:t>the</w:t>
      </w:r>
      <w:r w:rsidR="009F40F1">
        <w:rPr>
          <w:spacing w:val="-4"/>
        </w:rPr>
        <w:t xml:space="preserve"> </w:t>
      </w:r>
      <w:r w:rsidR="00CA4C42">
        <w:t>P</w:t>
      </w:r>
      <w:r w:rsidR="009F40F1">
        <w:t>rosecution</w:t>
      </w:r>
      <w:r w:rsidR="00CA4C42">
        <w:t>’</w:t>
      </w:r>
      <w:r w:rsidR="009F40F1">
        <w:t>.</w:t>
      </w:r>
    </w:p>
    <w:p w14:paraId="4F592AA3" w14:textId="19052188" w:rsidR="009F40F1" w:rsidRPr="004D0132" w:rsidRDefault="009F40F1" w:rsidP="00E34801">
      <w:pPr>
        <w:pStyle w:val="Heading2"/>
      </w:pPr>
      <w:bookmarkStart w:id="7" w:name="_Toc147762837"/>
      <w:bookmarkStart w:id="8" w:name="_Toc147931070"/>
      <w:r w:rsidRPr="004D0132">
        <w:t>Procedure where fitness to be tried is raised at the committal stage</w:t>
      </w:r>
      <w:bookmarkEnd w:id="7"/>
      <w:bookmarkEnd w:id="8"/>
    </w:p>
    <w:p w14:paraId="2AC59FD5" w14:textId="38061352" w:rsidR="009F40F1" w:rsidRPr="00A9716B" w:rsidRDefault="009F40F1" w:rsidP="009F40F1">
      <w:pPr>
        <w:pStyle w:val="NumberedParagraph"/>
      </w:pPr>
      <w:r w:rsidRPr="00A9716B">
        <w:t>Where</w:t>
      </w:r>
      <w:r w:rsidRPr="00A9716B">
        <w:rPr>
          <w:spacing w:val="-3"/>
        </w:rPr>
        <w:t xml:space="preserve"> </w:t>
      </w:r>
      <w:r w:rsidRPr="00A9716B">
        <w:t>the issue</w:t>
      </w:r>
      <w:r w:rsidRPr="00A9716B">
        <w:rPr>
          <w:spacing w:val="-3"/>
        </w:rPr>
        <w:t xml:space="preserve"> </w:t>
      </w:r>
      <w:r w:rsidRPr="00A9716B">
        <w:t>of fitness</w:t>
      </w:r>
      <w:r w:rsidRPr="00A9716B">
        <w:rPr>
          <w:spacing w:val="-1"/>
        </w:rPr>
        <w:t xml:space="preserve"> </w:t>
      </w:r>
      <w:r w:rsidRPr="00A9716B">
        <w:t>to</w:t>
      </w:r>
      <w:r w:rsidRPr="00A9716B">
        <w:rPr>
          <w:spacing w:val="2"/>
        </w:rPr>
        <w:t xml:space="preserve"> </w:t>
      </w:r>
      <w:r w:rsidRPr="00A9716B">
        <w:t>be</w:t>
      </w:r>
      <w:r w:rsidRPr="00A9716B">
        <w:rPr>
          <w:spacing w:val="-3"/>
        </w:rPr>
        <w:t xml:space="preserve"> </w:t>
      </w:r>
      <w:r w:rsidRPr="00A9716B">
        <w:t>tried is</w:t>
      </w:r>
      <w:r w:rsidRPr="00A9716B">
        <w:rPr>
          <w:spacing w:val="-4"/>
        </w:rPr>
        <w:t xml:space="preserve"> </w:t>
      </w:r>
      <w:r w:rsidRPr="00A9716B">
        <w:t>raised</w:t>
      </w:r>
      <w:r w:rsidRPr="00A9716B">
        <w:rPr>
          <w:spacing w:val="-1"/>
        </w:rPr>
        <w:t xml:space="preserve"> </w:t>
      </w:r>
      <w:r w:rsidRPr="00A9716B">
        <w:t>at committal</w:t>
      </w:r>
      <w:r w:rsidRPr="00A9716B">
        <w:rPr>
          <w:spacing w:val="-2"/>
        </w:rPr>
        <w:t xml:space="preserve"> </w:t>
      </w:r>
      <w:r w:rsidRPr="00A9716B">
        <w:t>by</w:t>
      </w:r>
      <w:r w:rsidRPr="00A9716B">
        <w:rPr>
          <w:spacing w:val="-3"/>
        </w:rPr>
        <w:t xml:space="preserve"> </w:t>
      </w:r>
      <w:r w:rsidRPr="00A9716B">
        <w:t xml:space="preserve">the </w:t>
      </w:r>
      <w:r w:rsidR="00D60426">
        <w:t>P</w:t>
      </w:r>
      <w:r w:rsidRPr="00A9716B">
        <w:t>rosecution,</w:t>
      </w:r>
      <w:r w:rsidRPr="00A9716B">
        <w:rPr>
          <w:spacing w:val="-3"/>
        </w:rPr>
        <w:t xml:space="preserve"> </w:t>
      </w:r>
      <w:r w:rsidRPr="00A9716B">
        <w:t>the</w:t>
      </w:r>
      <w:r w:rsidRPr="00A9716B">
        <w:rPr>
          <w:spacing w:val="1"/>
        </w:rPr>
        <w:t xml:space="preserve"> </w:t>
      </w:r>
      <w:r w:rsidRPr="00A9716B">
        <w:t>person</w:t>
      </w:r>
      <w:r w:rsidRPr="00A9716B">
        <w:rPr>
          <w:spacing w:val="-2"/>
        </w:rPr>
        <w:t xml:space="preserve"> </w:t>
      </w:r>
      <w:r w:rsidRPr="00A9716B">
        <w:t>or</w:t>
      </w:r>
      <w:r w:rsidRPr="00A9716B">
        <w:rPr>
          <w:spacing w:val="-3"/>
        </w:rPr>
        <w:t xml:space="preserve"> </w:t>
      </w:r>
      <w:r w:rsidRPr="00A9716B">
        <w:t>the person’s legal representative, the relevant Magistrate must refer proceedings to the court to which the</w:t>
      </w:r>
      <w:r w:rsidR="00D60426">
        <w:t xml:space="preserve"> </w:t>
      </w:r>
      <w:r w:rsidRPr="00A9716B">
        <w:rPr>
          <w:spacing w:val="-47"/>
        </w:rPr>
        <w:t xml:space="preserve"> </w:t>
      </w:r>
      <w:r w:rsidRPr="00A9716B">
        <w:t xml:space="preserve">person </w:t>
      </w:r>
      <w:r w:rsidRPr="00A9716B">
        <w:lastRenderedPageBreak/>
        <w:t>would have been committed for trial</w:t>
      </w:r>
      <w:r w:rsidR="00D60426">
        <w:t>.</w:t>
      </w:r>
      <w:r w:rsidR="00D60426">
        <w:rPr>
          <w:rStyle w:val="FootnoteReference"/>
        </w:rPr>
        <w:footnoteReference w:id="13"/>
      </w:r>
      <w:r w:rsidRPr="00A9716B">
        <w:t xml:space="preserve"> Sub-sections 20B(2), (3) and (4)</w:t>
      </w:r>
      <w:r w:rsidRPr="00A9716B">
        <w:rPr>
          <w:spacing w:val="1"/>
        </w:rPr>
        <w:t xml:space="preserve"> </w:t>
      </w:r>
      <w:r w:rsidRPr="00A9716B">
        <w:t>provide</w:t>
      </w:r>
      <w:r w:rsidRPr="00A9716B">
        <w:rPr>
          <w:spacing w:val="-3"/>
        </w:rPr>
        <w:t xml:space="preserve"> </w:t>
      </w:r>
      <w:r w:rsidRPr="00A9716B">
        <w:t>further procedural</w:t>
      </w:r>
      <w:r w:rsidRPr="00A9716B">
        <w:rPr>
          <w:spacing w:val="-5"/>
        </w:rPr>
        <w:t xml:space="preserve"> </w:t>
      </w:r>
      <w:r w:rsidRPr="00A9716B">
        <w:t>requirements for such</w:t>
      </w:r>
      <w:r w:rsidRPr="00A9716B">
        <w:rPr>
          <w:spacing w:val="-4"/>
        </w:rPr>
        <w:t xml:space="preserve"> </w:t>
      </w:r>
      <w:r w:rsidRPr="00A9716B">
        <w:t>matters.</w:t>
      </w:r>
    </w:p>
    <w:p w14:paraId="769E75EA" w14:textId="54A12A44" w:rsidR="009F40F1" w:rsidRPr="004D0132" w:rsidRDefault="009F40F1" w:rsidP="00E34801">
      <w:pPr>
        <w:pStyle w:val="Heading2"/>
      </w:pPr>
      <w:bookmarkStart w:id="9" w:name="_Toc147762838"/>
      <w:bookmarkStart w:id="10" w:name="_Toc147931071"/>
      <w:r w:rsidRPr="004D0132">
        <w:t>Procedure where fitness to be tried is raised post-committal</w:t>
      </w:r>
      <w:bookmarkEnd w:id="9"/>
      <w:bookmarkEnd w:id="10"/>
    </w:p>
    <w:p w14:paraId="26E1EC24" w14:textId="5EBA79EF" w:rsidR="009F40F1" w:rsidRPr="00A64193" w:rsidRDefault="009F40F1" w:rsidP="00E34801">
      <w:pPr>
        <w:pStyle w:val="Heading3"/>
      </w:pPr>
      <w:bookmarkStart w:id="11" w:name="_Toc147931072"/>
      <w:r>
        <w:t>Threshold test</w:t>
      </w:r>
      <w:bookmarkEnd w:id="11"/>
    </w:p>
    <w:p w14:paraId="442CDF92" w14:textId="29E9DD9A" w:rsidR="009F40F1" w:rsidRPr="00A64193" w:rsidRDefault="009F40F1" w:rsidP="009F40F1">
      <w:pPr>
        <w:pStyle w:val="NumberedParagraph"/>
      </w:pPr>
      <w:r w:rsidRPr="00A64193">
        <w:t>In most jurisdictions, State or Territory legislation provides a form of initial threshold test to be met. A</w:t>
      </w:r>
      <w:r w:rsidRPr="00A64193">
        <w:rPr>
          <w:spacing w:val="-47"/>
        </w:rPr>
        <w:t xml:space="preserve"> </w:t>
      </w:r>
      <w:r w:rsidR="001A05A7">
        <w:t xml:space="preserve"> </w:t>
      </w:r>
      <w:r>
        <w:t>j</w:t>
      </w:r>
      <w:r w:rsidRPr="00A64193">
        <w:t>udge, in the exercise of his or her discretion, must consider whether there is a serious question as to</w:t>
      </w:r>
      <w:r w:rsidRPr="00A64193">
        <w:rPr>
          <w:spacing w:val="1"/>
        </w:rPr>
        <w:t xml:space="preserve"> </w:t>
      </w:r>
      <w:r w:rsidRPr="00A64193">
        <w:t>the person’s fitness to be tried.</w:t>
      </w:r>
      <w:r>
        <w:rPr>
          <w:rStyle w:val="FootnoteReference"/>
        </w:rPr>
        <w:footnoteReference w:id="14"/>
      </w:r>
      <w:r w:rsidR="00E34801">
        <w:t xml:space="preserve"> </w:t>
      </w:r>
      <w:r w:rsidRPr="00A64193">
        <w:t xml:space="preserve">In </w:t>
      </w:r>
      <w:r w:rsidRPr="00A64193">
        <w:rPr>
          <w:i/>
        </w:rPr>
        <w:t>Eastman</w:t>
      </w:r>
      <w:r w:rsidRPr="00A64193">
        <w:t>,</w:t>
      </w:r>
      <w:r>
        <w:rPr>
          <w:rStyle w:val="FootnoteReference"/>
        </w:rPr>
        <w:footnoteReference w:id="15"/>
      </w:r>
      <w:r w:rsidR="00E34801">
        <w:t xml:space="preserve"> </w:t>
      </w:r>
      <w:r w:rsidRPr="00A64193">
        <w:t>recounting Australian</w:t>
      </w:r>
      <w:r w:rsidRPr="00A64193">
        <w:rPr>
          <w:spacing w:val="1"/>
        </w:rPr>
        <w:t xml:space="preserve"> </w:t>
      </w:r>
      <w:r w:rsidRPr="00A64193">
        <w:t xml:space="preserve">procedure relating to fitness to be tried generally, </w:t>
      </w:r>
      <w:proofErr w:type="spellStart"/>
      <w:r w:rsidRPr="00A64193">
        <w:t>Callinan</w:t>
      </w:r>
      <w:proofErr w:type="spellEnd"/>
      <w:r w:rsidRPr="00A64193">
        <w:t xml:space="preserve"> J noted: </w:t>
      </w:r>
      <w:r w:rsidR="001E54E0">
        <w:t>‘</w:t>
      </w:r>
      <w:r w:rsidRPr="00A64193">
        <w:t>It has been held that, before the</w:t>
      </w:r>
      <w:r w:rsidRPr="00A64193">
        <w:rPr>
          <w:spacing w:val="1"/>
        </w:rPr>
        <w:t xml:space="preserve"> </w:t>
      </w:r>
      <w:r w:rsidRPr="00A64193">
        <w:t xml:space="preserve">question of fitness has to be pursued there must be a </w:t>
      </w:r>
      <w:r w:rsidR="001E54E0">
        <w:t>“</w:t>
      </w:r>
      <w:r w:rsidRPr="00A64193">
        <w:t>real question</w:t>
      </w:r>
      <w:r w:rsidR="001E54E0">
        <w:t>”</w:t>
      </w:r>
      <w:r w:rsidRPr="00A64193">
        <w:t xml:space="preserve">, or a </w:t>
      </w:r>
      <w:r w:rsidR="001E54E0">
        <w:t>“</w:t>
      </w:r>
      <w:r w:rsidRPr="00A64193">
        <w:t>real and substantial</w:t>
      </w:r>
      <w:r w:rsidRPr="00A64193">
        <w:rPr>
          <w:spacing w:val="1"/>
        </w:rPr>
        <w:t xml:space="preserve"> </w:t>
      </w:r>
      <w:r w:rsidRPr="00A64193">
        <w:t>question</w:t>
      </w:r>
      <w:r w:rsidR="001E54E0">
        <w:t>”</w:t>
      </w:r>
      <w:r w:rsidRPr="00A64193">
        <w:rPr>
          <w:spacing w:val="-4"/>
        </w:rPr>
        <w:t xml:space="preserve"> </w:t>
      </w:r>
      <w:r w:rsidRPr="00A64193">
        <w:t xml:space="preserve">or a </w:t>
      </w:r>
      <w:r w:rsidR="001E54E0">
        <w:t>“</w:t>
      </w:r>
      <w:r w:rsidRPr="00A64193">
        <w:t>serious</w:t>
      </w:r>
      <w:r w:rsidRPr="00A64193">
        <w:rPr>
          <w:spacing w:val="-3"/>
        </w:rPr>
        <w:t xml:space="preserve"> </w:t>
      </w:r>
      <w:r w:rsidRPr="00A64193">
        <w:t>question</w:t>
      </w:r>
      <w:r w:rsidR="001E54E0">
        <w:t>”</w:t>
      </w:r>
      <w:r w:rsidRPr="00A64193">
        <w:t>’.</w:t>
      </w:r>
    </w:p>
    <w:p w14:paraId="0889AA40" w14:textId="48F4C619" w:rsidR="009F40F1" w:rsidRDefault="009F40F1" w:rsidP="009F40F1">
      <w:pPr>
        <w:pStyle w:val="NumberedParagraph"/>
      </w:pPr>
      <w:r>
        <w:t xml:space="preserve">In </w:t>
      </w:r>
      <w:r>
        <w:rPr>
          <w:i/>
        </w:rPr>
        <w:t>Kesavarajah</w:t>
      </w:r>
      <w:r>
        <w:t>, in referring to Victorian procedure, the High</w:t>
      </w:r>
      <w:r>
        <w:rPr>
          <w:spacing w:val="1"/>
        </w:rPr>
        <w:t xml:space="preserve"> </w:t>
      </w:r>
      <w:r>
        <w:t>Court stated: “the judge should leave the issue to be tried by the jury unless no reasonable jury,</w:t>
      </w:r>
      <w:r>
        <w:rPr>
          <w:spacing w:val="1"/>
        </w:rPr>
        <w:t xml:space="preserve"> </w:t>
      </w:r>
      <w:r>
        <w:t>properly instructed, could find that the person was not fit to be tried”. In New South Wales, the Court</w:t>
      </w:r>
      <w:r>
        <w:rPr>
          <w:spacing w:val="1"/>
        </w:rPr>
        <w:t xml:space="preserve"> </w:t>
      </w:r>
      <w:r>
        <w:t xml:space="preserve">is not required to conduct an inquiry into the question of a person's unfitness to be tried for an offence unless it </w:t>
      </w:r>
      <w:r>
        <w:rPr>
          <w:spacing w:val="-47"/>
        </w:rPr>
        <w:t xml:space="preserve"> </w:t>
      </w:r>
      <w:r>
        <w:t>appears</w:t>
      </w:r>
      <w:r>
        <w:rPr>
          <w:spacing w:val="-1"/>
        </w:rPr>
        <w:t xml:space="preserve"> </w:t>
      </w:r>
      <w:r>
        <w:t>to</w:t>
      </w:r>
      <w:r>
        <w:rPr>
          <w:spacing w:val="1"/>
        </w:rPr>
        <w:t xml:space="preserve"> </w:t>
      </w:r>
      <w:r>
        <w:t>the</w:t>
      </w:r>
      <w:r>
        <w:rPr>
          <w:spacing w:val="-2"/>
        </w:rPr>
        <w:t xml:space="preserve"> </w:t>
      </w:r>
      <w:r>
        <w:t>Court that</w:t>
      </w:r>
      <w:r>
        <w:rPr>
          <w:spacing w:val="-3"/>
        </w:rPr>
        <w:t xml:space="preserve"> </w:t>
      </w:r>
      <w:r>
        <w:t>the question</w:t>
      </w:r>
      <w:r>
        <w:rPr>
          <w:spacing w:val="-1"/>
        </w:rPr>
        <w:t xml:space="preserve"> </w:t>
      </w:r>
      <w:r>
        <w:t>has been raised</w:t>
      </w:r>
      <w:r>
        <w:rPr>
          <w:spacing w:val="-1"/>
        </w:rPr>
        <w:t xml:space="preserve"> </w:t>
      </w:r>
      <w:r>
        <w:t>in</w:t>
      </w:r>
      <w:r>
        <w:rPr>
          <w:spacing w:val="-1"/>
        </w:rPr>
        <w:t xml:space="preserve"> </w:t>
      </w:r>
      <w:r>
        <w:t>‘good</w:t>
      </w:r>
      <w:r>
        <w:rPr>
          <w:spacing w:val="-4"/>
        </w:rPr>
        <w:t xml:space="preserve"> </w:t>
      </w:r>
      <w:r>
        <w:t>faith’.</w:t>
      </w:r>
      <w:r>
        <w:rPr>
          <w:rStyle w:val="FootnoteReference"/>
        </w:rPr>
        <w:footnoteReference w:id="16"/>
      </w:r>
    </w:p>
    <w:p w14:paraId="2455144C" w14:textId="663B49D2" w:rsidR="009F40F1" w:rsidRPr="00A64193" w:rsidRDefault="009F40F1" w:rsidP="00E34801">
      <w:pPr>
        <w:pStyle w:val="Heading3"/>
      </w:pPr>
      <w:bookmarkStart w:id="12" w:name="_Toc147931073"/>
      <w:r>
        <w:t>Subsequent fitness hearing</w:t>
      </w:r>
      <w:bookmarkEnd w:id="12"/>
    </w:p>
    <w:p w14:paraId="6EF8602D" w14:textId="785A3C7C" w:rsidR="009F40F1" w:rsidRDefault="009F40F1" w:rsidP="009F40F1">
      <w:pPr>
        <w:pStyle w:val="NumberedParagraph"/>
      </w:pPr>
      <w:r>
        <w:t>Once it has been determined that a serious question exists as to fitness to be tried, the Court</w:t>
      </w:r>
      <w:r>
        <w:rPr>
          <w:spacing w:val="1"/>
        </w:rPr>
        <w:t xml:space="preserve"> </w:t>
      </w:r>
      <w:r>
        <w:t>(depending on the jurisdiction, this may comprise a judge, or jury) determines whether the person is fit</w:t>
      </w:r>
      <w:r>
        <w:rPr>
          <w:spacing w:val="-47"/>
        </w:rPr>
        <w:t xml:space="preserve"> </w:t>
      </w:r>
      <w:r>
        <w:t xml:space="preserve"> to be tried and </w:t>
      </w:r>
      <w:proofErr w:type="gramStart"/>
      <w:r>
        <w:t>in order to</w:t>
      </w:r>
      <w:proofErr w:type="gramEnd"/>
      <w:r>
        <w:t xml:space="preserve"> do so, it picks up the relevant State or Territory procedure as to method of</w:t>
      </w:r>
      <w:r>
        <w:rPr>
          <w:spacing w:val="1"/>
        </w:rPr>
        <w:t xml:space="preserve"> </w:t>
      </w:r>
      <w:r>
        <w:t>determination. Commonly,</w:t>
      </w:r>
      <w:r>
        <w:rPr>
          <w:rStyle w:val="FootnoteReference"/>
        </w:rPr>
        <w:footnoteReference w:id="17"/>
      </w:r>
      <w:r w:rsidR="00E34801">
        <w:t xml:space="preserve"> </w:t>
      </w:r>
      <w:r>
        <w:t>a form of fitness hearing, investigation, or inquiry is held. Prosecutors should refer to the</w:t>
      </w:r>
      <w:r>
        <w:rPr>
          <w:spacing w:val="1"/>
        </w:rPr>
        <w:t xml:space="preserve"> </w:t>
      </w:r>
      <w:r>
        <w:t>legislation</w:t>
      </w:r>
      <w:r>
        <w:rPr>
          <w:spacing w:val="-3"/>
        </w:rPr>
        <w:t xml:space="preserve"> </w:t>
      </w:r>
      <w:r>
        <w:t>in</w:t>
      </w:r>
      <w:r>
        <w:rPr>
          <w:spacing w:val="-4"/>
        </w:rPr>
        <w:t xml:space="preserve"> </w:t>
      </w:r>
      <w:r>
        <w:t>their</w:t>
      </w:r>
      <w:r>
        <w:rPr>
          <w:spacing w:val="-2"/>
        </w:rPr>
        <w:t xml:space="preserve"> </w:t>
      </w:r>
      <w:r>
        <w:t>State</w:t>
      </w:r>
      <w:r>
        <w:rPr>
          <w:spacing w:val="-3"/>
        </w:rPr>
        <w:t xml:space="preserve"> </w:t>
      </w:r>
      <w:r>
        <w:t>or</w:t>
      </w:r>
      <w:r>
        <w:rPr>
          <w:spacing w:val="-3"/>
        </w:rPr>
        <w:t xml:space="preserve"> </w:t>
      </w:r>
      <w:r>
        <w:t>Territory</w:t>
      </w:r>
      <w:r>
        <w:rPr>
          <w:spacing w:val="-1"/>
        </w:rPr>
        <w:t xml:space="preserve"> </w:t>
      </w:r>
      <w:r>
        <w:t>regarding</w:t>
      </w:r>
      <w:r>
        <w:rPr>
          <w:spacing w:val="-2"/>
        </w:rPr>
        <w:t xml:space="preserve"> </w:t>
      </w:r>
      <w:r>
        <w:t>the procedure</w:t>
      </w:r>
      <w:r>
        <w:rPr>
          <w:spacing w:val="-1"/>
        </w:rPr>
        <w:t xml:space="preserve"> </w:t>
      </w:r>
      <w:r>
        <w:t>for</w:t>
      </w:r>
      <w:r>
        <w:rPr>
          <w:spacing w:val="-2"/>
        </w:rPr>
        <w:t xml:space="preserve"> </w:t>
      </w:r>
      <w:r>
        <w:t>determination</w:t>
      </w:r>
      <w:r>
        <w:rPr>
          <w:spacing w:val="-5"/>
        </w:rPr>
        <w:t xml:space="preserve"> </w:t>
      </w:r>
      <w:r>
        <w:t>of</w:t>
      </w:r>
      <w:r>
        <w:rPr>
          <w:spacing w:val="-1"/>
        </w:rPr>
        <w:t xml:space="preserve"> </w:t>
      </w:r>
      <w:r>
        <w:t>fitness</w:t>
      </w:r>
      <w:r>
        <w:rPr>
          <w:spacing w:val="-3"/>
        </w:rPr>
        <w:t xml:space="preserve"> </w:t>
      </w:r>
      <w:r>
        <w:t>to</w:t>
      </w:r>
      <w:r>
        <w:rPr>
          <w:spacing w:val="1"/>
        </w:rPr>
        <w:t xml:space="preserve"> </w:t>
      </w:r>
      <w:r>
        <w:t>be tried.</w:t>
      </w:r>
      <w:r>
        <w:rPr>
          <w:rStyle w:val="FootnoteReference"/>
        </w:rPr>
        <w:footnoteReference w:id="18"/>
      </w:r>
    </w:p>
    <w:p w14:paraId="322FAEAC" w14:textId="05A6058B" w:rsidR="009F40F1" w:rsidRPr="004D0132" w:rsidRDefault="009F40F1" w:rsidP="00E34801">
      <w:pPr>
        <w:pStyle w:val="Heading2"/>
      </w:pPr>
      <w:bookmarkStart w:id="13" w:name="_Toc147762839"/>
      <w:bookmarkStart w:id="14" w:name="_Toc147931074"/>
      <w:r w:rsidRPr="004D0132">
        <w:t xml:space="preserve">The meaning </w:t>
      </w:r>
      <w:r w:rsidR="00E34801">
        <w:t xml:space="preserve">of </w:t>
      </w:r>
      <w:r w:rsidR="006243FB">
        <w:t>‘</w:t>
      </w:r>
      <w:r w:rsidRPr="004D0132">
        <w:t>to be tried</w:t>
      </w:r>
      <w:bookmarkEnd w:id="13"/>
      <w:r w:rsidR="006243FB">
        <w:t>’</w:t>
      </w:r>
      <w:bookmarkEnd w:id="14"/>
    </w:p>
    <w:p w14:paraId="6A4CCCBB" w14:textId="22A2B358" w:rsidR="009F40F1" w:rsidRPr="00A64193" w:rsidRDefault="009F40F1" w:rsidP="009F40F1">
      <w:pPr>
        <w:pStyle w:val="NumberedParagraph"/>
      </w:pPr>
      <w:r w:rsidRPr="00A64193">
        <w:t>At</w:t>
      </w:r>
      <w:r w:rsidRPr="00A64193">
        <w:rPr>
          <w:spacing w:val="-1"/>
        </w:rPr>
        <w:t xml:space="preserve"> </w:t>
      </w:r>
      <w:r w:rsidRPr="00A64193">
        <w:t>common</w:t>
      </w:r>
      <w:r w:rsidRPr="00A64193">
        <w:rPr>
          <w:spacing w:val="-1"/>
        </w:rPr>
        <w:t xml:space="preserve"> </w:t>
      </w:r>
      <w:r w:rsidRPr="00A64193">
        <w:t>law,</w:t>
      </w:r>
      <w:r w:rsidRPr="00A64193">
        <w:rPr>
          <w:spacing w:val="-2"/>
        </w:rPr>
        <w:t xml:space="preserve"> </w:t>
      </w:r>
      <w:r w:rsidRPr="00A64193">
        <w:t>the</w:t>
      </w:r>
      <w:r w:rsidRPr="00A64193">
        <w:rPr>
          <w:spacing w:val="-2"/>
        </w:rPr>
        <w:t xml:space="preserve"> </w:t>
      </w:r>
      <w:r w:rsidRPr="00A64193">
        <w:t>most</w:t>
      </w:r>
      <w:r w:rsidRPr="00A64193">
        <w:rPr>
          <w:spacing w:val="-4"/>
        </w:rPr>
        <w:t xml:space="preserve"> </w:t>
      </w:r>
      <w:r w:rsidRPr="00A64193">
        <w:t>definitive</w:t>
      </w:r>
      <w:r w:rsidRPr="00A64193">
        <w:rPr>
          <w:spacing w:val="-2"/>
        </w:rPr>
        <w:t xml:space="preserve"> </w:t>
      </w:r>
      <w:r w:rsidRPr="00A64193">
        <w:t>statement</w:t>
      </w:r>
      <w:r w:rsidRPr="00A64193">
        <w:rPr>
          <w:spacing w:val="-2"/>
        </w:rPr>
        <w:t xml:space="preserve"> </w:t>
      </w:r>
      <w:r w:rsidRPr="00A64193">
        <w:t>of</w:t>
      </w:r>
      <w:r w:rsidRPr="00A64193">
        <w:rPr>
          <w:spacing w:val="-2"/>
        </w:rPr>
        <w:t xml:space="preserve"> </w:t>
      </w:r>
      <w:r w:rsidRPr="00A64193">
        <w:t>the</w:t>
      </w:r>
      <w:r w:rsidRPr="00A64193">
        <w:rPr>
          <w:spacing w:val="-2"/>
        </w:rPr>
        <w:t xml:space="preserve"> </w:t>
      </w:r>
      <w:r w:rsidRPr="00A64193">
        <w:t>fitness</w:t>
      </w:r>
      <w:r w:rsidRPr="00A64193">
        <w:rPr>
          <w:spacing w:val="1"/>
        </w:rPr>
        <w:t xml:space="preserve"> </w:t>
      </w:r>
      <w:r w:rsidRPr="00A64193">
        <w:t>criteria</w:t>
      </w:r>
      <w:r w:rsidRPr="00A64193">
        <w:rPr>
          <w:spacing w:val="-2"/>
        </w:rPr>
        <w:t xml:space="preserve"> </w:t>
      </w:r>
      <w:r w:rsidRPr="00A64193">
        <w:t>was</w:t>
      </w:r>
      <w:r w:rsidRPr="00A64193">
        <w:rPr>
          <w:spacing w:val="1"/>
        </w:rPr>
        <w:t xml:space="preserve"> </w:t>
      </w:r>
      <w:r w:rsidRPr="00A64193">
        <w:t>set</w:t>
      </w:r>
      <w:r w:rsidRPr="00A64193">
        <w:rPr>
          <w:spacing w:val="-3"/>
        </w:rPr>
        <w:t xml:space="preserve"> </w:t>
      </w:r>
      <w:r w:rsidRPr="00A64193">
        <w:t>out in</w:t>
      </w:r>
      <w:r w:rsidRPr="00A64193">
        <w:rPr>
          <w:spacing w:val="-1"/>
        </w:rPr>
        <w:t xml:space="preserve"> </w:t>
      </w:r>
      <w:r w:rsidRPr="00A64193">
        <w:t>the</w:t>
      </w:r>
      <w:r w:rsidRPr="00A64193">
        <w:rPr>
          <w:spacing w:val="1"/>
        </w:rPr>
        <w:t xml:space="preserve"> </w:t>
      </w:r>
      <w:r w:rsidRPr="00A64193">
        <w:t>Victorian</w:t>
      </w:r>
      <w:r w:rsidRPr="00A64193">
        <w:rPr>
          <w:spacing w:val="-1"/>
        </w:rPr>
        <w:t xml:space="preserve"> </w:t>
      </w:r>
      <w:r w:rsidRPr="00A64193">
        <w:t>case</w:t>
      </w:r>
      <w:r w:rsidRPr="00A64193">
        <w:rPr>
          <w:spacing w:val="-2"/>
        </w:rPr>
        <w:t xml:space="preserve"> </w:t>
      </w:r>
      <w:r w:rsidRPr="00A64193">
        <w:t>of</w:t>
      </w:r>
      <w:r>
        <w:t xml:space="preserve"> </w:t>
      </w:r>
      <w:r>
        <w:rPr>
          <w:i/>
        </w:rPr>
        <w:t>R</w:t>
      </w:r>
      <w:r>
        <w:rPr>
          <w:i/>
          <w:spacing w:val="-1"/>
        </w:rPr>
        <w:t xml:space="preserve"> </w:t>
      </w:r>
      <w:r>
        <w:rPr>
          <w:i/>
        </w:rPr>
        <w:t>v</w:t>
      </w:r>
      <w:r>
        <w:rPr>
          <w:i/>
          <w:spacing w:val="-1"/>
        </w:rPr>
        <w:t xml:space="preserve"> </w:t>
      </w:r>
      <w:r>
        <w:rPr>
          <w:i/>
        </w:rPr>
        <w:t>Presser</w:t>
      </w:r>
      <w:r>
        <w:t>.</w:t>
      </w:r>
      <w:r w:rsidR="00F17117">
        <w:rPr>
          <w:rStyle w:val="FootnoteReference"/>
        </w:rPr>
        <w:footnoteReference w:id="19"/>
      </w:r>
      <w:r>
        <w:rPr>
          <w:spacing w:val="46"/>
        </w:rPr>
        <w:t xml:space="preserve"> </w:t>
      </w:r>
      <w:r>
        <w:t>In</w:t>
      </w:r>
      <w:r>
        <w:rPr>
          <w:spacing w:val="-2"/>
        </w:rPr>
        <w:t xml:space="preserve"> </w:t>
      </w:r>
      <w:r>
        <w:t>that</w:t>
      </w:r>
      <w:r>
        <w:rPr>
          <w:spacing w:val="-3"/>
        </w:rPr>
        <w:t xml:space="preserve"> </w:t>
      </w:r>
      <w:r>
        <w:t>case,</w:t>
      </w:r>
      <w:r>
        <w:rPr>
          <w:spacing w:val="-3"/>
        </w:rPr>
        <w:t xml:space="preserve"> </w:t>
      </w:r>
      <w:r>
        <w:t>Smith</w:t>
      </w:r>
      <w:r>
        <w:rPr>
          <w:spacing w:val="-1"/>
        </w:rPr>
        <w:t xml:space="preserve"> </w:t>
      </w:r>
      <w:r>
        <w:t>J</w:t>
      </w:r>
      <w:r>
        <w:rPr>
          <w:spacing w:val="-1"/>
        </w:rPr>
        <w:t xml:space="preserve"> </w:t>
      </w:r>
      <w:r>
        <w:t>stated that</w:t>
      </w:r>
      <w:r>
        <w:rPr>
          <w:spacing w:val="-4"/>
        </w:rPr>
        <w:t xml:space="preserve"> </w:t>
      </w:r>
      <w:r>
        <w:t>a person</w:t>
      </w:r>
      <w:r>
        <w:rPr>
          <w:spacing w:val="-4"/>
        </w:rPr>
        <w:t xml:space="preserve"> </w:t>
      </w:r>
      <w:r>
        <w:t>must be able</w:t>
      </w:r>
      <w:r>
        <w:rPr>
          <w:spacing w:val="-3"/>
        </w:rPr>
        <w:t xml:space="preserve"> </w:t>
      </w:r>
      <w:r>
        <w:t>to:</w:t>
      </w:r>
    </w:p>
    <w:p w14:paraId="1F571061" w14:textId="77777777" w:rsidR="009F40F1" w:rsidRPr="00A64193" w:rsidRDefault="009F40F1" w:rsidP="009F40F1">
      <w:pPr>
        <w:pStyle w:val="Tab1"/>
      </w:pPr>
      <w:r w:rsidRPr="00A64193">
        <w:t>understand</w:t>
      </w:r>
      <w:r w:rsidRPr="00A64193">
        <w:rPr>
          <w:spacing w:val="-2"/>
        </w:rPr>
        <w:t xml:space="preserve"> </w:t>
      </w:r>
      <w:r w:rsidRPr="00A64193">
        <w:t xml:space="preserve">what </w:t>
      </w:r>
      <w:r>
        <w:t>they are</w:t>
      </w:r>
      <w:r w:rsidRPr="00A64193">
        <w:t xml:space="preserve"> charged</w:t>
      </w:r>
      <w:r w:rsidRPr="00A64193">
        <w:rPr>
          <w:spacing w:val="-2"/>
        </w:rPr>
        <w:t xml:space="preserve"> </w:t>
      </w:r>
      <w:r w:rsidRPr="00A64193">
        <w:t>with;</w:t>
      </w:r>
    </w:p>
    <w:p w14:paraId="6A1C2909" w14:textId="77777777" w:rsidR="009F40F1" w:rsidRPr="00A64193" w:rsidRDefault="009F40F1" w:rsidP="009F40F1">
      <w:pPr>
        <w:pStyle w:val="Tab1"/>
      </w:pPr>
      <w:r w:rsidRPr="00A64193">
        <w:t>plead</w:t>
      </w:r>
      <w:r w:rsidRPr="00A64193">
        <w:rPr>
          <w:spacing w:val="-1"/>
        </w:rPr>
        <w:t xml:space="preserve"> </w:t>
      </w:r>
      <w:r w:rsidRPr="00A64193">
        <w:t>to</w:t>
      </w:r>
      <w:r w:rsidRPr="00A64193">
        <w:rPr>
          <w:spacing w:val="-2"/>
        </w:rPr>
        <w:t xml:space="preserve"> </w:t>
      </w:r>
      <w:r w:rsidRPr="00A64193">
        <w:t>the</w:t>
      </w:r>
      <w:r w:rsidRPr="00A64193">
        <w:rPr>
          <w:spacing w:val="-2"/>
        </w:rPr>
        <w:t xml:space="preserve"> </w:t>
      </w:r>
      <w:r w:rsidRPr="00A64193">
        <w:t>charge;</w:t>
      </w:r>
    </w:p>
    <w:p w14:paraId="555F2944" w14:textId="77777777" w:rsidR="009F40F1" w:rsidRPr="00A64193" w:rsidRDefault="009F40F1" w:rsidP="009F40F1">
      <w:pPr>
        <w:pStyle w:val="Tab1"/>
      </w:pPr>
      <w:r w:rsidRPr="00A64193">
        <w:t xml:space="preserve">exercise </w:t>
      </w:r>
      <w:r>
        <w:t xml:space="preserve">their </w:t>
      </w:r>
      <w:r w:rsidRPr="00A64193">
        <w:t>right</w:t>
      </w:r>
      <w:r w:rsidRPr="00A64193">
        <w:rPr>
          <w:spacing w:val="-2"/>
        </w:rPr>
        <w:t xml:space="preserve"> </w:t>
      </w:r>
      <w:r w:rsidRPr="00A64193">
        <w:t>of</w:t>
      </w:r>
      <w:r w:rsidRPr="00A64193">
        <w:rPr>
          <w:spacing w:val="-3"/>
        </w:rPr>
        <w:t xml:space="preserve"> </w:t>
      </w:r>
      <w:r w:rsidRPr="00A64193">
        <w:t>challenge</w:t>
      </w:r>
      <w:r w:rsidRPr="00A64193">
        <w:rPr>
          <w:spacing w:val="1"/>
        </w:rPr>
        <w:t xml:space="preserve"> </w:t>
      </w:r>
      <w:r w:rsidRPr="00A64193">
        <w:t>in</w:t>
      </w:r>
      <w:r w:rsidRPr="00A64193">
        <w:rPr>
          <w:spacing w:val="-1"/>
        </w:rPr>
        <w:t xml:space="preserve"> </w:t>
      </w:r>
      <w:r w:rsidRPr="00A64193">
        <w:t>selecting</w:t>
      </w:r>
      <w:r w:rsidRPr="00A64193">
        <w:rPr>
          <w:spacing w:val="-2"/>
        </w:rPr>
        <w:t xml:space="preserve"> </w:t>
      </w:r>
      <w:r w:rsidRPr="00A64193">
        <w:t>a</w:t>
      </w:r>
      <w:r w:rsidRPr="00A64193">
        <w:rPr>
          <w:spacing w:val="-2"/>
        </w:rPr>
        <w:t xml:space="preserve"> </w:t>
      </w:r>
      <w:r w:rsidRPr="00A64193">
        <w:t>jury;</w:t>
      </w:r>
    </w:p>
    <w:p w14:paraId="3EBEFE3A" w14:textId="77777777" w:rsidR="009F40F1" w:rsidRPr="00A64193" w:rsidRDefault="009F40F1" w:rsidP="009F40F1">
      <w:pPr>
        <w:pStyle w:val="Tab1"/>
      </w:pPr>
      <w:r w:rsidRPr="00A64193">
        <w:t>understand</w:t>
      </w:r>
      <w:r w:rsidRPr="00A64193">
        <w:rPr>
          <w:spacing w:val="-2"/>
        </w:rPr>
        <w:t xml:space="preserve"> </w:t>
      </w:r>
      <w:r w:rsidRPr="00A64193">
        <w:t>generally</w:t>
      </w:r>
      <w:r w:rsidRPr="00A64193">
        <w:rPr>
          <w:spacing w:val="-2"/>
        </w:rPr>
        <w:t xml:space="preserve"> </w:t>
      </w:r>
      <w:r w:rsidRPr="00A64193">
        <w:t>the</w:t>
      </w:r>
      <w:r w:rsidRPr="00A64193">
        <w:rPr>
          <w:spacing w:val="1"/>
        </w:rPr>
        <w:t xml:space="preserve"> </w:t>
      </w:r>
      <w:r w:rsidRPr="00A64193">
        <w:t>nature</w:t>
      </w:r>
      <w:r w:rsidRPr="00A64193">
        <w:rPr>
          <w:spacing w:val="-3"/>
        </w:rPr>
        <w:t xml:space="preserve"> </w:t>
      </w:r>
      <w:r w:rsidRPr="00A64193">
        <w:t>of the</w:t>
      </w:r>
      <w:r w:rsidRPr="00A64193">
        <w:rPr>
          <w:spacing w:val="-2"/>
        </w:rPr>
        <w:t xml:space="preserve"> </w:t>
      </w:r>
      <w:r w:rsidRPr="00A64193">
        <w:t>proceeding;</w:t>
      </w:r>
    </w:p>
    <w:p w14:paraId="402BDFD2" w14:textId="77777777" w:rsidR="009F40F1" w:rsidRPr="00A64193" w:rsidRDefault="009F40F1" w:rsidP="009F40F1">
      <w:pPr>
        <w:pStyle w:val="Tab1"/>
      </w:pPr>
      <w:r w:rsidRPr="00A64193">
        <w:t>follow the course</w:t>
      </w:r>
      <w:r w:rsidRPr="00A64193">
        <w:rPr>
          <w:spacing w:val="-3"/>
        </w:rPr>
        <w:t xml:space="preserve"> </w:t>
      </w:r>
      <w:r w:rsidRPr="00A64193">
        <w:t>of</w:t>
      </w:r>
      <w:r w:rsidRPr="00A64193">
        <w:rPr>
          <w:spacing w:val="-3"/>
        </w:rPr>
        <w:t xml:space="preserve"> </w:t>
      </w:r>
      <w:r w:rsidRPr="00A64193">
        <w:t>the trial</w:t>
      </w:r>
      <w:r w:rsidRPr="00A64193">
        <w:rPr>
          <w:spacing w:val="-1"/>
        </w:rPr>
        <w:t xml:space="preserve"> </w:t>
      </w:r>
      <w:proofErr w:type="gramStart"/>
      <w:r w:rsidRPr="00A64193">
        <w:t>so as</w:t>
      </w:r>
      <w:r w:rsidRPr="00A64193">
        <w:rPr>
          <w:spacing w:val="-1"/>
        </w:rPr>
        <w:t xml:space="preserve"> </w:t>
      </w:r>
      <w:r w:rsidRPr="00A64193">
        <w:t>to</w:t>
      </w:r>
      <w:proofErr w:type="gramEnd"/>
      <w:r w:rsidRPr="00A64193">
        <w:t xml:space="preserve"> understand</w:t>
      </w:r>
      <w:r w:rsidRPr="00A64193">
        <w:rPr>
          <w:spacing w:val="-1"/>
        </w:rPr>
        <w:t xml:space="preserve"> </w:t>
      </w:r>
      <w:r w:rsidRPr="00A64193">
        <w:t>what</w:t>
      </w:r>
      <w:r w:rsidRPr="00A64193">
        <w:rPr>
          <w:spacing w:val="-1"/>
        </w:rPr>
        <w:t xml:space="preserve"> </w:t>
      </w:r>
      <w:r w:rsidRPr="00A64193">
        <w:t>is</w:t>
      </w:r>
      <w:r w:rsidRPr="00A64193">
        <w:rPr>
          <w:spacing w:val="-1"/>
        </w:rPr>
        <w:t xml:space="preserve"> </w:t>
      </w:r>
      <w:r w:rsidRPr="00A64193">
        <w:t>happening</w:t>
      </w:r>
      <w:r w:rsidRPr="00A64193">
        <w:rPr>
          <w:spacing w:val="-2"/>
        </w:rPr>
        <w:t xml:space="preserve"> </w:t>
      </w:r>
      <w:r w:rsidRPr="00A64193">
        <w:t>in</w:t>
      </w:r>
      <w:r w:rsidRPr="00A64193">
        <w:rPr>
          <w:spacing w:val="-1"/>
        </w:rPr>
        <w:t xml:space="preserve"> </w:t>
      </w:r>
      <w:r w:rsidRPr="00A64193">
        <w:t>court in</w:t>
      </w:r>
      <w:r w:rsidRPr="00A64193">
        <w:rPr>
          <w:spacing w:val="-2"/>
        </w:rPr>
        <w:t xml:space="preserve"> </w:t>
      </w:r>
      <w:r w:rsidRPr="00A64193">
        <w:t>a</w:t>
      </w:r>
      <w:r w:rsidRPr="00A64193">
        <w:rPr>
          <w:spacing w:val="-5"/>
        </w:rPr>
        <w:t xml:space="preserve"> </w:t>
      </w:r>
      <w:r w:rsidRPr="00A64193">
        <w:t>general</w:t>
      </w:r>
      <w:r w:rsidRPr="00A64193">
        <w:rPr>
          <w:spacing w:val="-1"/>
        </w:rPr>
        <w:t xml:space="preserve"> </w:t>
      </w:r>
      <w:r w:rsidRPr="00A64193">
        <w:t>sense,</w:t>
      </w:r>
    </w:p>
    <w:p w14:paraId="6E365294" w14:textId="77777777" w:rsidR="009F40F1" w:rsidRPr="00A64193" w:rsidRDefault="009F40F1" w:rsidP="009F40F1">
      <w:pPr>
        <w:pStyle w:val="Tab1"/>
      </w:pPr>
      <w:r w:rsidRPr="00A64193">
        <w:t>understand</w:t>
      </w:r>
      <w:r w:rsidRPr="00A64193">
        <w:rPr>
          <w:spacing w:val="-2"/>
        </w:rPr>
        <w:t xml:space="preserve"> </w:t>
      </w:r>
      <w:r w:rsidRPr="00A64193">
        <w:t>the substantial</w:t>
      </w:r>
      <w:r w:rsidRPr="00A64193">
        <w:rPr>
          <w:spacing w:val="-4"/>
        </w:rPr>
        <w:t xml:space="preserve"> </w:t>
      </w:r>
      <w:r w:rsidRPr="00A64193">
        <w:t>effect</w:t>
      </w:r>
      <w:r w:rsidRPr="00A64193">
        <w:rPr>
          <w:spacing w:val="-2"/>
        </w:rPr>
        <w:t xml:space="preserve"> </w:t>
      </w:r>
      <w:r w:rsidRPr="00A64193">
        <w:t>of</w:t>
      </w:r>
      <w:r w:rsidRPr="00A64193">
        <w:rPr>
          <w:spacing w:val="-4"/>
        </w:rPr>
        <w:t xml:space="preserve"> </w:t>
      </w:r>
      <w:r w:rsidRPr="00A64193">
        <w:t xml:space="preserve">evidence given against </w:t>
      </w:r>
      <w:r>
        <w:t>them</w:t>
      </w:r>
      <w:r w:rsidRPr="00A64193">
        <w:t>;</w:t>
      </w:r>
    </w:p>
    <w:p w14:paraId="350AE90F" w14:textId="77777777" w:rsidR="009F40F1" w:rsidRPr="00220276" w:rsidRDefault="009F40F1" w:rsidP="009F40F1">
      <w:pPr>
        <w:pStyle w:val="Tab1"/>
      </w:pPr>
      <w:r w:rsidRPr="00220276">
        <w:lastRenderedPageBreak/>
        <w:t>decide what defence to rely upon (and where they are represented by Counsel, communicate</w:t>
      </w:r>
      <w:r w:rsidRPr="00220276">
        <w:rPr>
          <w:spacing w:val="-47"/>
        </w:rPr>
        <w:t xml:space="preserve">       </w:t>
      </w:r>
      <w:r w:rsidRPr="00220276">
        <w:t>his</w:t>
      </w:r>
      <w:r w:rsidRPr="00220276">
        <w:rPr>
          <w:spacing w:val="-1"/>
        </w:rPr>
        <w:t xml:space="preserve"> </w:t>
      </w:r>
      <w:r w:rsidRPr="00220276">
        <w:t>or her</w:t>
      </w:r>
      <w:r w:rsidRPr="00220276">
        <w:rPr>
          <w:spacing w:val="-4"/>
        </w:rPr>
        <w:t xml:space="preserve"> </w:t>
      </w:r>
      <w:r w:rsidRPr="00220276">
        <w:t>version</w:t>
      </w:r>
      <w:r w:rsidRPr="00220276">
        <w:rPr>
          <w:spacing w:val="-1"/>
        </w:rPr>
        <w:t xml:space="preserve"> </w:t>
      </w:r>
      <w:r w:rsidRPr="00220276">
        <w:t>of</w:t>
      </w:r>
      <w:r w:rsidRPr="00220276">
        <w:rPr>
          <w:spacing w:val="-4"/>
        </w:rPr>
        <w:t xml:space="preserve"> </w:t>
      </w:r>
      <w:r w:rsidRPr="00220276">
        <w:t>the</w:t>
      </w:r>
      <w:r w:rsidRPr="00220276">
        <w:rPr>
          <w:spacing w:val="1"/>
        </w:rPr>
        <w:t xml:space="preserve"> </w:t>
      </w:r>
      <w:r w:rsidRPr="00220276">
        <w:t>facts,</w:t>
      </w:r>
      <w:r w:rsidRPr="00220276">
        <w:rPr>
          <w:spacing w:val="1"/>
        </w:rPr>
        <w:t xml:space="preserve"> </w:t>
      </w:r>
      <w:r w:rsidRPr="00220276">
        <w:t>and</w:t>
      </w:r>
      <w:r w:rsidRPr="00220276">
        <w:rPr>
          <w:spacing w:val="-2"/>
        </w:rPr>
        <w:t xml:space="preserve"> </w:t>
      </w:r>
      <w:r w:rsidRPr="00220276">
        <w:t>give</w:t>
      </w:r>
      <w:r w:rsidRPr="00220276">
        <w:rPr>
          <w:spacing w:val="1"/>
        </w:rPr>
        <w:t xml:space="preserve"> </w:t>
      </w:r>
      <w:r w:rsidRPr="00220276">
        <w:t>Counsel</w:t>
      </w:r>
      <w:r w:rsidRPr="00220276">
        <w:rPr>
          <w:spacing w:val="-1"/>
        </w:rPr>
        <w:t xml:space="preserve"> </w:t>
      </w:r>
      <w:r w:rsidRPr="00220276">
        <w:t>any necessary instructions);</w:t>
      </w:r>
      <w:r w:rsidRPr="00220276">
        <w:rPr>
          <w:spacing w:val="1"/>
        </w:rPr>
        <w:t xml:space="preserve"> </w:t>
      </w:r>
      <w:r w:rsidRPr="00220276">
        <w:t>and</w:t>
      </w:r>
    </w:p>
    <w:p w14:paraId="7E9BB07F" w14:textId="397559CE" w:rsidR="009F40F1" w:rsidRPr="00220276" w:rsidRDefault="009F40F1" w:rsidP="009F40F1">
      <w:pPr>
        <w:pStyle w:val="Tab1"/>
      </w:pPr>
      <w:r w:rsidRPr="00220276">
        <w:rPr>
          <w:rFonts w:cstheme="minorHAnsi"/>
        </w:rPr>
        <w:t>make the</w:t>
      </w:r>
      <w:r w:rsidRPr="00220276">
        <w:rPr>
          <w:rFonts w:cstheme="minorHAnsi"/>
          <w:spacing w:val="-3"/>
        </w:rPr>
        <w:t xml:space="preserve"> </w:t>
      </w:r>
      <w:r w:rsidRPr="00220276">
        <w:rPr>
          <w:rFonts w:cstheme="minorHAnsi"/>
        </w:rPr>
        <w:t>defence</w:t>
      </w:r>
      <w:r w:rsidRPr="00220276">
        <w:rPr>
          <w:rFonts w:cstheme="minorHAnsi"/>
          <w:spacing w:val="1"/>
        </w:rPr>
        <w:t xml:space="preserve"> </w:t>
      </w:r>
      <w:r w:rsidRPr="00220276">
        <w:rPr>
          <w:rFonts w:cstheme="minorHAnsi"/>
        </w:rPr>
        <w:t>and</w:t>
      </w:r>
      <w:r w:rsidRPr="00220276">
        <w:rPr>
          <w:rFonts w:cstheme="minorHAnsi"/>
          <w:spacing w:val="-2"/>
        </w:rPr>
        <w:t xml:space="preserve"> </w:t>
      </w:r>
      <w:r>
        <w:rPr>
          <w:rFonts w:cstheme="minorHAnsi"/>
        </w:rPr>
        <w:t>their</w:t>
      </w:r>
      <w:r w:rsidRPr="00220276">
        <w:rPr>
          <w:rFonts w:cstheme="minorHAnsi"/>
          <w:spacing w:val="-3"/>
        </w:rPr>
        <w:t xml:space="preserve"> </w:t>
      </w:r>
      <w:r w:rsidRPr="00220276">
        <w:rPr>
          <w:rFonts w:cstheme="minorHAnsi"/>
        </w:rPr>
        <w:t>version</w:t>
      </w:r>
      <w:r w:rsidRPr="00220276">
        <w:rPr>
          <w:rFonts w:cstheme="minorHAnsi"/>
          <w:spacing w:val="-4"/>
        </w:rPr>
        <w:t xml:space="preserve"> </w:t>
      </w:r>
      <w:r w:rsidRPr="00220276">
        <w:rPr>
          <w:rFonts w:cstheme="minorHAnsi"/>
        </w:rPr>
        <w:t>of</w:t>
      </w:r>
      <w:r w:rsidRPr="00220276">
        <w:rPr>
          <w:rFonts w:cstheme="minorHAnsi"/>
          <w:spacing w:val="-2"/>
        </w:rPr>
        <w:t xml:space="preserve"> </w:t>
      </w:r>
      <w:r w:rsidRPr="00220276">
        <w:rPr>
          <w:rFonts w:cstheme="minorHAnsi"/>
        </w:rPr>
        <w:t>the facts</w:t>
      </w:r>
      <w:r w:rsidRPr="00220276">
        <w:rPr>
          <w:rFonts w:cstheme="minorHAnsi"/>
          <w:spacing w:val="-2"/>
        </w:rPr>
        <w:t xml:space="preserve"> </w:t>
      </w:r>
      <w:r w:rsidRPr="00220276">
        <w:rPr>
          <w:rFonts w:cstheme="minorHAnsi"/>
        </w:rPr>
        <w:t>known</w:t>
      </w:r>
      <w:r w:rsidRPr="00220276">
        <w:rPr>
          <w:rFonts w:cstheme="minorHAnsi"/>
          <w:spacing w:val="-1"/>
        </w:rPr>
        <w:t xml:space="preserve"> </w:t>
      </w:r>
      <w:r w:rsidRPr="00220276">
        <w:rPr>
          <w:rFonts w:cstheme="minorHAnsi"/>
        </w:rPr>
        <w:t>to</w:t>
      </w:r>
      <w:r w:rsidRPr="00220276">
        <w:rPr>
          <w:rFonts w:cstheme="minorHAnsi"/>
          <w:spacing w:val="-1"/>
        </w:rPr>
        <w:t xml:space="preserve"> </w:t>
      </w:r>
      <w:r w:rsidRPr="00220276">
        <w:rPr>
          <w:rFonts w:cstheme="minorHAnsi"/>
        </w:rPr>
        <w:t>the court</w:t>
      </w:r>
      <w:r w:rsidR="006243FB">
        <w:rPr>
          <w:rFonts w:cstheme="minorHAnsi"/>
        </w:rPr>
        <w:t>.</w:t>
      </w:r>
    </w:p>
    <w:p w14:paraId="35CF065A" w14:textId="48E67975" w:rsidR="009F40F1" w:rsidRDefault="009F40F1" w:rsidP="009F40F1">
      <w:pPr>
        <w:pStyle w:val="NumberedParagraph"/>
      </w:pPr>
      <w:r w:rsidRPr="00A64193">
        <w:t>Some jurisdictions still rely upon the common law test in determining fitness.</w:t>
      </w:r>
      <w:r w:rsidRPr="00A64193">
        <w:rPr>
          <w:spacing w:val="1"/>
        </w:rPr>
        <w:t xml:space="preserve"> </w:t>
      </w:r>
      <w:r w:rsidRPr="00A64193">
        <w:t>Others have closely</w:t>
      </w:r>
      <w:r w:rsidRPr="00A64193">
        <w:rPr>
          <w:spacing w:val="1"/>
        </w:rPr>
        <w:t xml:space="preserve"> </w:t>
      </w:r>
      <w:r w:rsidRPr="00A64193">
        <w:t xml:space="preserve">replicated the </w:t>
      </w:r>
      <w:r w:rsidRPr="00A64193">
        <w:rPr>
          <w:i/>
        </w:rPr>
        <w:t xml:space="preserve">Presser </w:t>
      </w:r>
      <w:r w:rsidRPr="00A64193">
        <w:t>indicators in relevant local legislation.</w:t>
      </w:r>
      <w:r>
        <w:rPr>
          <w:rStyle w:val="FootnoteReference"/>
        </w:rPr>
        <w:footnoteReference w:id="20"/>
      </w:r>
      <w:r w:rsidRPr="00A64193">
        <w:rPr>
          <w:spacing w:val="1"/>
        </w:rPr>
        <w:t xml:space="preserve"> </w:t>
      </w:r>
      <w:r w:rsidRPr="00A64193">
        <w:t xml:space="preserve">It is important that prosecutors refer to local legislation to ensure they are familiar with the exact formulation of the </w:t>
      </w:r>
      <w:r w:rsidRPr="00A64193">
        <w:rPr>
          <w:i/>
        </w:rPr>
        <w:t xml:space="preserve">Presser </w:t>
      </w:r>
      <w:r w:rsidRPr="00A64193">
        <w:t>indicators</w:t>
      </w:r>
      <w:r w:rsidRPr="00A64193">
        <w:rPr>
          <w:spacing w:val="1"/>
        </w:rPr>
        <w:t xml:space="preserve"> </w:t>
      </w:r>
      <w:r w:rsidRPr="00A64193">
        <w:t>applicable to</w:t>
      </w:r>
      <w:r w:rsidRPr="00A64193">
        <w:rPr>
          <w:spacing w:val="-3"/>
        </w:rPr>
        <w:t xml:space="preserve"> </w:t>
      </w:r>
      <w:r w:rsidRPr="00A64193">
        <w:t>their case.</w:t>
      </w:r>
    </w:p>
    <w:p w14:paraId="542A81DF" w14:textId="45904E6C" w:rsidR="009F40F1" w:rsidRPr="004D0132" w:rsidRDefault="009F40F1" w:rsidP="00E34801">
      <w:pPr>
        <w:pStyle w:val="Heading2"/>
      </w:pPr>
      <w:bookmarkStart w:id="15" w:name="_Toc147762840"/>
      <w:bookmarkStart w:id="16" w:name="_Toc147931075"/>
      <w:r w:rsidRPr="004D0132">
        <w:t>Expert evidence</w:t>
      </w:r>
      <w:bookmarkEnd w:id="15"/>
      <w:bookmarkEnd w:id="16"/>
    </w:p>
    <w:p w14:paraId="7DC51C27" w14:textId="1100588D" w:rsidR="009F40F1" w:rsidRPr="00916757" w:rsidRDefault="009F40F1" w:rsidP="009F40F1">
      <w:pPr>
        <w:pStyle w:val="NumberedParagraph"/>
      </w:pPr>
      <w:r w:rsidRPr="00916757">
        <w:t>Fitness hearings require expert evidence to be given as to the person’s mental competence. A general</w:t>
      </w:r>
      <w:r w:rsidRPr="00916757">
        <w:rPr>
          <w:spacing w:val="1"/>
        </w:rPr>
        <w:t xml:space="preserve"> </w:t>
      </w:r>
      <w:r w:rsidRPr="00916757">
        <w:t>psychiatrist's report stating that the person is suffering from a mental illness is not sufficient. An expert</w:t>
      </w:r>
      <w:r w:rsidRPr="00916757">
        <w:rPr>
          <w:spacing w:val="-47"/>
        </w:rPr>
        <w:t xml:space="preserve"> </w:t>
      </w:r>
      <w:r w:rsidRPr="00916757">
        <w:t>forensic psychiatrist or forensic psychologist should be engaged and should specifically address the</w:t>
      </w:r>
      <w:r w:rsidRPr="00916757">
        <w:rPr>
          <w:spacing w:val="1"/>
        </w:rPr>
        <w:t xml:space="preserve"> </w:t>
      </w:r>
      <w:r w:rsidRPr="00916757">
        <w:rPr>
          <w:i/>
        </w:rPr>
        <w:t xml:space="preserve">Presser </w:t>
      </w:r>
      <w:r w:rsidRPr="00916757">
        <w:t>indicators. Decision 4.22 of the Decision Making Matrix covers approval to retain an expert</w:t>
      </w:r>
      <w:r w:rsidRPr="00916757">
        <w:rPr>
          <w:spacing w:val="1"/>
        </w:rPr>
        <w:t xml:space="preserve"> </w:t>
      </w:r>
      <w:r w:rsidRPr="00916757">
        <w:t>witness, and item 1.3 of the Financial Delegations Matrix (‘legal expenses excluding counsel’) covers</w:t>
      </w:r>
      <w:r w:rsidRPr="00916757">
        <w:rPr>
          <w:spacing w:val="1"/>
        </w:rPr>
        <w:t xml:space="preserve"> </w:t>
      </w:r>
      <w:r w:rsidRPr="00916757">
        <w:t>approval for expert witness expenditure.</w:t>
      </w:r>
      <w:r>
        <w:rPr>
          <w:rStyle w:val="FootnoteReference"/>
        </w:rPr>
        <w:footnoteReference w:id="21"/>
      </w:r>
      <w:r>
        <w:t xml:space="preserve"> </w:t>
      </w:r>
      <w:r w:rsidRPr="00916757">
        <w:t>Prosecutors should also refer to the National Legal Direction</w:t>
      </w:r>
      <w:r w:rsidR="006E7C37">
        <w:t xml:space="preserve"> on ‘Witness </w:t>
      </w:r>
      <w:proofErr w:type="gramStart"/>
      <w:r w:rsidR="006E7C37">
        <w:t>expenses’</w:t>
      </w:r>
      <w:proofErr w:type="gramEnd"/>
      <w:r w:rsidR="006E7C37">
        <w:t>.</w:t>
      </w:r>
      <w:r w:rsidR="006E7C37">
        <w:rPr>
          <w:spacing w:val="-47"/>
        </w:rPr>
        <w:t xml:space="preserve"> </w:t>
      </w:r>
    </w:p>
    <w:p w14:paraId="0DD603B3" w14:textId="77777777" w:rsidR="009F40F1" w:rsidRPr="007437F4" w:rsidRDefault="009F40F1" w:rsidP="009F40F1">
      <w:pPr>
        <w:pStyle w:val="NumberedParagraph"/>
      </w:pPr>
      <w:r w:rsidRPr="007437F4">
        <w:t>Fitness to stand trial is essentially a legal concept and is not a psychological term, however significant</w:t>
      </w:r>
      <w:r w:rsidRPr="007437F4">
        <w:rPr>
          <w:spacing w:val="1"/>
        </w:rPr>
        <w:t xml:space="preserve"> </w:t>
      </w:r>
      <w:r w:rsidRPr="007437F4">
        <w:t>reliance is placed upon expert medical opinion of the cognitive abilities of a person in assessing</w:t>
      </w:r>
      <w:r w:rsidRPr="007437F4">
        <w:rPr>
          <w:spacing w:val="1"/>
        </w:rPr>
        <w:t xml:space="preserve"> </w:t>
      </w:r>
      <w:r w:rsidRPr="007437F4">
        <w:t>competency.</w:t>
      </w:r>
      <w:r>
        <w:rPr>
          <w:rStyle w:val="FootnoteReference"/>
        </w:rPr>
        <w:footnoteReference w:id="22"/>
      </w:r>
      <w:r w:rsidRPr="007437F4">
        <w:rPr>
          <w:spacing w:val="1"/>
        </w:rPr>
        <w:t xml:space="preserve"> </w:t>
      </w:r>
      <w:r w:rsidRPr="007437F4">
        <w:t>It is crucial that the expert witness understands that the existence of a mental illness or</w:t>
      </w:r>
      <w:r w:rsidRPr="007437F4">
        <w:rPr>
          <w:spacing w:val="1"/>
        </w:rPr>
        <w:t xml:space="preserve"> </w:t>
      </w:r>
      <w:r w:rsidRPr="007437F4">
        <w:t>intellectual disability does not automatically result in unfitness to be tried. They must be aware that the</w:t>
      </w:r>
      <w:r w:rsidRPr="007437F4">
        <w:rPr>
          <w:spacing w:val="-47"/>
        </w:rPr>
        <w:t xml:space="preserve"> </w:t>
      </w:r>
      <w:r>
        <w:rPr>
          <w:spacing w:val="-47"/>
        </w:rPr>
        <w:t xml:space="preserve"> </w:t>
      </w:r>
      <w:r w:rsidRPr="007437F4">
        <w:t>defence of mental impairment is a separate concept and that the latter is of no relevance in assessing</w:t>
      </w:r>
      <w:r w:rsidRPr="007437F4">
        <w:rPr>
          <w:spacing w:val="1"/>
        </w:rPr>
        <w:t xml:space="preserve"> </w:t>
      </w:r>
      <w:r w:rsidRPr="007437F4">
        <w:t>fitness to</w:t>
      </w:r>
      <w:r w:rsidRPr="007437F4">
        <w:rPr>
          <w:spacing w:val="1"/>
        </w:rPr>
        <w:t xml:space="preserve"> </w:t>
      </w:r>
      <w:r w:rsidRPr="007437F4">
        <w:t>be</w:t>
      </w:r>
      <w:r w:rsidRPr="007437F4">
        <w:rPr>
          <w:spacing w:val="1"/>
        </w:rPr>
        <w:t xml:space="preserve"> </w:t>
      </w:r>
      <w:r w:rsidRPr="007437F4">
        <w:t>tried.</w:t>
      </w:r>
      <w:r>
        <w:t xml:space="preserve"> </w:t>
      </w:r>
    </w:p>
    <w:p w14:paraId="6658A37F" w14:textId="77777777" w:rsidR="009F40F1" w:rsidRDefault="009F40F1" w:rsidP="009F40F1">
      <w:pPr>
        <w:pStyle w:val="NumberedParagraph"/>
      </w:pPr>
      <w:r w:rsidRPr="007437F4">
        <w:t>Importantly,</w:t>
      </w:r>
      <w:r w:rsidRPr="007437F4">
        <w:rPr>
          <w:spacing w:val="-4"/>
        </w:rPr>
        <w:t xml:space="preserve"> </w:t>
      </w:r>
      <w:r w:rsidRPr="007437F4">
        <w:t>it is</w:t>
      </w:r>
      <w:r w:rsidRPr="007437F4">
        <w:rPr>
          <w:spacing w:val="-1"/>
        </w:rPr>
        <w:t xml:space="preserve"> </w:t>
      </w:r>
      <w:r w:rsidRPr="007437F4">
        <w:t>ultimately</w:t>
      </w:r>
      <w:r w:rsidRPr="007437F4">
        <w:rPr>
          <w:spacing w:val="-2"/>
        </w:rPr>
        <w:t xml:space="preserve"> </w:t>
      </w:r>
      <w:r w:rsidRPr="007437F4">
        <w:t>the</w:t>
      </w:r>
      <w:r w:rsidRPr="007437F4">
        <w:rPr>
          <w:spacing w:val="-1"/>
        </w:rPr>
        <w:t xml:space="preserve"> </w:t>
      </w:r>
      <w:r w:rsidRPr="007437F4">
        <w:t>function</w:t>
      </w:r>
      <w:r w:rsidRPr="007437F4">
        <w:rPr>
          <w:spacing w:val="-4"/>
        </w:rPr>
        <w:t xml:space="preserve"> </w:t>
      </w:r>
      <w:r w:rsidRPr="007437F4">
        <w:t>of</w:t>
      </w:r>
      <w:r w:rsidRPr="007437F4">
        <w:rPr>
          <w:spacing w:val="-1"/>
        </w:rPr>
        <w:t xml:space="preserve"> </w:t>
      </w:r>
      <w:r w:rsidRPr="007437F4">
        <w:t>the</w:t>
      </w:r>
      <w:r w:rsidRPr="007437F4">
        <w:rPr>
          <w:spacing w:val="-2"/>
        </w:rPr>
        <w:t xml:space="preserve"> </w:t>
      </w:r>
      <w:r w:rsidRPr="007437F4">
        <w:t>judge</w:t>
      </w:r>
      <w:r w:rsidRPr="007437F4">
        <w:rPr>
          <w:spacing w:val="-2"/>
        </w:rPr>
        <w:t xml:space="preserve"> </w:t>
      </w:r>
      <w:r w:rsidRPr="007437F4">
        <w:t>or</w:t>
      </w:r>
      <w:r w:rsidRPr="007437F4">
        <w:rPr>
          <w:spacing w:val="-1"/>
        </w:rPr>
        <w:t xml:space="preserve"> </w:t>
      </w:r>
      <w:r w:rsidRPr="007437F4">
        <w:t>jury to determine</w:t>
      </w:r>
      <w:r w:rsidRPr="007437F4">
        <w:rPr>
          <w:spacing w:val="-3"/>
        </w:rPr>
        <w:t xml:space="preserve"> </w:t>
      </w:r>
      <w:r w:rsidRPr="007437F4">
        <w:t>the</w:t>
      </w:r>
      <w:r w:rsidRPr="007437F4">
        <w:rPr>
          <w:spacing w:val="-1"/>
        </w:rPr>
        <w:t xml:space="preserve"> </w:t>
      </w:r>
      <w:r w:rsidRPr="007437F4">
        <w:t>issue of</w:t>
      </w:r>
      <w:r w:rsidRPr="007437F4">
        <w:rPr>
          <w:spacing w:val="-4"/>
        </w:rPr>
        <w:t xml:space="preserve"> </w:t>
      </w:r>
      <w:r w:rsidRPr="007437F4">
        <w:t>fitness.</w:t>
      </w:r>
    </w:p>
    <w:p w14:paraId="71852530" w14:textId="5E5715FD" w:rsidR="009F40F1" w:rsidRPr="004D0132" w:rsidRDefault="009F40F1" w:rsidP="00E34801">
      <w:pPr>
        <w:pStyle w:val="Heading2"/>
      </w:pPr>
      <w:bookmarkStart w:id="17" w:name="_Toc147762841"/>
      <w:bookmarkStart w:id="18" w:name="_Toc147931076"/>
      <w:r w:rsidRPr="004D0132">
        <w:t>Onus of proof and standard of proof</w:t>
      </w:r>
      <w:bookmarkEnd w:id="17"/>
      <w:bookmarkEnd w:id="18"/>
    </w:p>
    <w:p w14:paraId="1BF08B6A" w14:textId="5551C0B5" w:rsidR="009F40F1" w:rsidRPr="003F695C" w:rsidRDefault="009F40F1" w:rsidP="009F40F1">
      <w:pPr>
        <w:pStyle w:val="NumberedParagraph"/>
      </w:pPr>
      <w:r w:rsidRPr="003F695C">
        <w:t>At common law, the onus of proof is on the party raising the issue (</w:t>
      </w:r>
      <w:proofErr w:type="gramStart"/>
      <w:r w:rsidR="006E7C37" w:rsidRPr="003F695C">
        <w:t>i.e.</w:t>
      </w:r>
      <w:proofErr w:type="gramEnd"/>
      <w:r w:rsidRPr="003F695C">
        <w:t xml:space="preserve"> the party asserting the defendant</w:t>
      </w:r>
      <w:r w:rsidRPr="003F695C">
        <w:rPr>
          <w:spacing w:val="-47"/>
        </w:rPr>
        <w:t xml:space="preserve"> </w:t>
      </w:r>
      <w:r>
        <w:t xml:space="preserve"> i</w:t>
      </w:r>
      <w:r w:rsidRPr="003F695C">
        <w:t>s not fit). The prosecution standard of proof is beyond a reasonable doubt. The defence standard of</w:t>
      </w:r>
      <w:r w:rsidRPr="003F695C">
        <w:rPr>
          <w:spacing w:val="1"/>
        </w:rPr>
        <w:t xml:space="preserve"> </w:t>
      </w:r>
      <w:r w:rsidRPr="003F695C">
        <w:t>proof is on the balance of probabilities.</w:t>
      </w:r>
      <w:r>
        <w:rPr>
          <w:rStyle w:val="FootnoteReference"/>
        </w:rPr>
        <w:footnoteReference w:id="23"/>
      </w:r>
      <w:r>
        <w:t xml:space="preserve"> </w:t>
      </w:r>
      <w:r w:rsidRPr="003F695C">
        <w:t>If the Court raises fitness to be tried in circumstances where</w:t>
      </w:r>
      <w:r w:rsidRPr="003F695C">
        <w:rPr>
          <w:spacing w:val="1"/>
        </w:rPr>
        <w:t xml:space="preserve"> </w:t>
      </w:r>
      <w:r w:rsidRPr="003F695C">
        <w:t>neither</w:t>
      </w:r>
      <w:r w:rsidRPr="003F695C">
        <w:rPr>
          <w:spacing w:val="-1"/>
        </w:rPr>
        <w:t xml:space="preserve"> </w:t>
      </w:r>
      <w:r w:rsidRPr="003F695C">
        <w:t>party raises</w:t>
      </w:r>
      <w:r w:rsidRPr="003F695C">
        <w:rPr>
          <w:spacing w:val="1"/>
        </w:rPr>
        <w:t xml:space="preserve"> </w:t>
      </w:r>
      <w:r w:rsidRPr="003F695C">
        <w:t>it,</w:t>
      </w:r>
      <w:r w:rsidRPr="003F695C">
        <w:rPr>
          <w:spacing w:val="-3"/>
        </w:rPr>
        <w:t xml:space="preserve"> </w:t>
      </w:r>
      <w:r w:rsidRPr="003F695C">
        <w:t>and</w:t>
      </w:r>
      <w:r w:rsidRPr="003F695C">
        <w:rPr>
          <w:spacing w:val="-3"/>
        </w:rPr>
        <w:t xml:space="preserve"> </w:t>
      </w:r>
      <w:r w:rsidRPr="003F695C">
        <w:t>the</w:t>
      </w:r>
      <w:r w:rsidRPr="003F695C">
        <w:rPr>
          <w:spacing w:val="1"/>
        </w:rPr>
        <w:t xml:space="preserve"> </w:t>
      </w:r>
      <w:r w:rsidRPr="003F695C">
        <w:t>prosecution</w:t>
      </w:r>
      <w:r w:rsidRPr="003F695C">
        <w:rPr>
          <w:spacing w:val="-2"/>
        </w:rPr>
        <w:t xml:space="preserve"> </w:t>
      </w:r>
      <w:r w:rsidRPr="003F695C">
        <w:t>and</w:t>
      </w:r>
      <w:r w:rsidRPr="003F695C">
        <w:rPr>
          <w:spacing w:val="-1"/>
        </w:rPr>
        <w:t xml:space="preserve"> </w:t>
      </w:r>
      <w:r w:rsidRPr="003F695C">
        <w:t>defence</w:t>
      </w:r>
      <w:r w:rsidRPr="003F695C">
        <w:rPr>
          <w:spacing w:val="1"/>
        </w:rPr>
        <w:t xml:space="preserve"> </w:t>
      </w:r>
      <w:r w:rsidRPr="003F695C">
        <w:t>are</w:t>
      </w:r>
      <w:r w:rsidRPr="003F695C">
        <w:rPr>
          <w:spacing w:val="-3"/>
        </w:rPr>
        <w:t xml:space="preserve"> </w:t>
      </w:r>
      <w:r w:rsidRPr="003F695C">
        <w:t>both</w:t>
      </w:r>
      <w:r w:rsidRPr="003F695C">
        <w:rPr>
          <w:spacing w:val="-4"/>
        </w:rPr>
        <w:t xml:space="preserve"> </w:t>
      </w:r>
      <w:r w:rsidRPr="003F695C">
        <w:t>of</w:t>
      </w:r>
      <w:r w:rsidRPr="003F695C">
        <w:rPr>
          <w:spacing w:val="-3"/>
        </w:rPr>
        <w:t xml:space="preserve"> </w:t>
      </w:r>
      <w:r w:rsidRPr="003F695C">
        <w:t>the</w:t>
      </w:r>
      <w:r w:rsidRPr="003F695C">
        <w:rPr>
          <w:spacing w:val="-2"/>
        </w:rPr>
        <w:t xml:space="preserve"> </w:t>
      </w:r>
      <w:r w:rsidRPr="003F695C">
        <w:t>view that the</w:t>
      </w:r>
      <w:r w:rsidRPr="003F695C">
        <w:rPr>
          <w:spacing w:val="2"/>
        </w:rPr>
        <w:t xml:space="preserve"> </w:t>
      </w:r>
      <w:r w:rsidRPr="003F695C">
        <w:t>person</w:t>
      </w:r>
      <w:r w:rsidRPr="003F695C">
        <w:rPr>
          <w:spacing w:val="-3"/>
        </w:rPr>
        <w:t xml:space="preserve"> </w:t>
      </w:r>
      <w:r w:rsidRPr="003F695C">
        <w:t>is</w:t>
      </w:r>
      <w:r w:rsidRPr="003F695C">
        <w:rPr>
          <w:spacing w:val="-1"/>
        </w:rPr>
        <w:t xml:space="preserve"> </w:t>
      </w:r>
      <w:r w:rsidRPr="003F695C">
        <w:t>fit</w:t>
      </w:r>
      <w:r w:rsidRPr="003F695C">
        <w:rPr>
          <w:spacing w:val="-2"/>
        </w:rPr>
        <w:t xml:space="preserve"> </w:t>
      </w:r>
      <w:r w:rsidRPr="003F695C">
        <w:t>to</w:t>
      </w:r>
      <w:r w:rsidRPr="003F695C">
        <w:rPr>
          <w:spacing w:val="-1"/>
        </w:rPr>
        <w:t xml:space="preserve"> </w:t>
      </w:r>
      <w:r w:rsidRPr="003F695C">
        <w:t>be</w:t>
      </w:r>
      <w:r>
        <w:t xml:space="preserve"> tried, the prosecution bears the responsibility for calling evidence first in the proceedings.</w:t>
      </w:r>
      <w:r>
        <w:rPr>
          <w:rStyle w:val="FootnoteReference"/>
        </w:rPr>
        <w:footnoteReference w:id="24"/>
      </w:r>
      <w:r>
        <w:t xml:space="preserve"> Local legislation should be consulted to ensure that this position has not been modified by statute.</w:t>
      </w:r>
    </w:p>
    <w:p w14:paraId="761B1C2C" w14:textId="47D5A3B8" w:rsidR="009F40F1" w:rsidRPr="004D0132" w:rsidRDefault="009F40F1" w:rsidP="00E34801">
      <w:pPr>
        <w:pStyle w:val="Heading2"/>
      </w:pPr>
      <w:bookmarkStart w:id="19" w:name="_Toc147762842"/>
      <w:bookmarkStart w:id="20" w:name="_Toc147931077"/>
      <w:r w:rsidRPr="004D0132">
        <w:lastRenderedPageBreak/>
        <w:t>Federal procedure following a finding of fitness or unfitness</w:t>
      </w:r>
      <w:bookmarkEnd w:id="19"/>
      <w:bookmarkEnd w:id="20"/>
    </w:p>
    <w:p w14:paraId="0914B834" w14:textId="648C8E03" w:rsidR="009F40F1" w:rsidRDefault="009F40F1" w:rsidP="009F40F1">
      <w:pPr>
        <w:pStyle w:val="NumberedParagraph"/>
      </w:pPr>
      <w:r>
        <w:t>Division 6</w:t>
      </w:r>
      <w:r w:rsidR="00F17117">
        <w:t xml:space="preserve"> of Part </w:t>
      </w:r>
      <w:r w:rsidR="000406DC">
        <w:t>I</w:t>
      </w:r>
      <w:r w:rsidR="00F17117">
        <w:t>B</w:t>
      </w:r>
      <w:r>
        <w:t xml:space="preserve"> of the </w:t>
      </w:r>
      <w:r w:rsidR="0026548A" w:rsidRPr="0026548A">
        <w:rPr>
          <w:i/>
        </w:rPr>
        <w:t>Crimes Act</w:t>
      </w:r>
      <w:r>
        <w:rPr>
          <w:i/>
        </w:rPr>
        <w:t xml:space="preserve"> </w:t>
      </w:r>
      <w:r>
        <w:t>provides the procedure following the determination of fitness or</w:t>
      </w:r>
      <w:r w:rsidR="00F17117">
        <w:t xml:space="preserve"> </w:t>
      </w:r>
      <w:r>
        <w:rPr>
          <w:spacing w:val="-47"/>
        </w:rPr>
        <w:t xml:space="preserve"> </w:t>
      </w:r>
      <w:r>
        <w:t>unfitness to be tried. Note that Division 6 makes multiple references to ‘the Court’ however this may</w:t>
      </w:r>
      <w:r>
        <w:rPr>
          <w:spacing w:val="-47"/>
        </w:rPr>
        <w:t xml:space="preserve"> </w:t>
      </w:r>
      <w:r>
        <w:t xml:space="preserve"> mean</w:t>
      </w:r>
      <w:r>
        <w:rPr>
          <w:spacing w:val="-1"/>
        </w:rPr>
        <w:t xml:space="preserve"> </w:t>
      </w:r>
      <w:r>
        <w:t>judge</w:t>
      </w:r>
      <w:r>
        <w:rPr>
          <w:spacing w:val="-2"/>
        </w:rPr>
        <w:t xml:space="preserve"> </w:t>
      </w:r>
      <w:r>
        <w:t>or</w:t>
      </w:r>
      <w:r>
        <w:rPr>
          <w:spacing w:val="-4"/>
        </w:rPr>
        <w:t xml:space="preserve"> </w:t>
      </w:r>
      <w:r>
        <w:t>jury,</w:t>
      </w:r>
      <w:r>
        <w:rPr>
          <w:spacing w:val="1"/>
        </w:rPr>
        <w:t xml:space="preserve"> </w:t>
      </w:r>
      <w:r>
        <w:t>depending</w:t>
      </w:r>
      <w:r>
        <w:rPr>
          <w:spacing w:val="-1"/>
        </w:rPr>
        <w:t xml:space="preserve"> </w:t>
      </w:r>
      <w:r>
        <w:t>upon</w:t>
      </w:r>
      <w:r>
        <w:rPr>
          <w:spacing w:val="-2"/>
        </w:rPr>
        <w:t xml:space="preserve"> </w:t>
      </w:r>
      <w:r>
        <w:t>the sub-section</w:t>
      </w:r>
      <w:r>
        <w:rPr>
          <w:spacing w:val="-6"/>
        </w:rPr>
        <w:t xml:space="preserve"> </w:t>
      </w:r>
      <w:r>
        <w:t>and</w:t>
      </w:r>
      <w:r>
        <w:rPr>
          <w:spacing w:val="-1"/>
        </w:rPr>
        <w:t xml:space="preserve"> </w:t>
      </w:r>
      <w:r>
        <w:t>upon the</w:t>
      </w:r>
      <w:r>
        <w:rPr>
          <w:spacing w:val="-1"/>
        </w:rPr>
        <w:t xml:space="preserve"> </w:t>
      </w:r>
      <w:r>
        <w:t>given jurisdiction.</w:t>
      </w:r>
      <w:r>
        <w:rPr>
          <w:rStyle w:val="FootnoteReference"/>
        </w:rPr>
        <w:footnoteReference w:id="25"/>
      </w:r>
    </w:p>
    <w:p w14:paraId="7AEB4BE0" w14:textId="7488F2A7" w:rsidR="009F40F1" w:rsidRDefault="009F40F1" w:rsidP="009F40F1">
      <w:pPr>
        <w:pStyle w:val="NumberedParagraph"/>
      </w:pPr>
      <w:r>
        <w:t>If a person who was initially referred from the Magistrates Court to a higher Court per s</w:t>
      </w:r>
      <w:r w:rsidR="00546775">
        <w:t>ection</w:t>
      </w:r>
      <w:r>
        <w:t xml:space="preserve"> 20B(1), is</w:t>
      </w:r>
      <w:r>
        <w:rPr>
          <w:spacing w:val="-47"/>
        </w:rPr>
        <w:t xml:space="preserve">  </w:t>
      </w:r>
      <w:r>
        <w:t xml:space="preserve"> </w:t>
      </w:r>
      <w:r w:rsidR="00546775">
        <w:t xml:space="preserve">found </w:t>
      </w:r>
      <w:r>
        <w:t>fit to be tried, the matter is remitted back to the Magistrates Court where ordinary committal</w:t>
      </w:r>
      <w:r>
        <w:rPr>
          <w:spacing w:val="1"/>
        </w:rPr>
        <w:t xml:space="preserve"> </w:t>
      </w:r>
      <w:r>
        <w:t>must now</w:t>
      </w:r>
      <w:r>
        <w:rPr>
          <w:spacing w:val="-2"/>
        </w:rPr>
        <w:t xml:space="preserve"> </w:t>
      </w:r>
      <w:r>
        <w:t>occur</w:t>
      </w:r>
      <w:r>
        <w:rPr>
          <w:spacing w:val="-1"/>
        </w:rPr>
        <w:t xml:space="preserve"> </w:t>
      </w:r>
      <w:r>
        <w:t>(s</w:t>
      </w:r>
      <w:r w:rsidR="00546775">
        <w:t>ection</w:t>
      </w:r>
      <w:r>
        <w:t xml:space="preserve"> 20B(2)).</w:t>
      </w:r>
      <w:r>
        <w:rPr>
          <w:rStyle w:val="FootnoteReference"/>
        </w:rPr>
        <w:footnoteReference w:id="26"/>
      </w:r>
    </w:p>
    <w:p w14:paraId="2FCAB7ED" w14:textId="77777777" w:rsidR="009F40F1" w:rsidRDefault="009F40F1" w:rsidP="009F40F1">
      <w:pPr>
        <w:pStyle w:val="NumberedParagraph"/>
      </w:pPr>
      <w:r w:rsidRPr="00F05941">
        <w:t>If a person who was subject to ordinary committal is found fit to be tried in the relevant higher Court,</w:t>
      </w:r>
      <w:r w:rsidRPr="00F05941">
        <w:rPr>
          <w:spacing w:val="-47"/>
        </w:rPr>
        <w:t xml:space="preserve"> </w:t>
      </w:r>
      <w:r w:rsidRPr="00F05941">
        <w:t>the trial</w:t>
      </w:r>
      <w:r w:rsidRPr="00F05941">
        <w:rPr>
          <w:spacing w:val="-3"/>
        </w:rPr>
        <w:t xml:space="preserve"> </w:t>
      </w:r>
      <w:r w:rsidRPr="00F05941">
        <w:t>continues.</w:t>
      </w:r>
    </w:p>
    <w:p w14:paraId="4CCE66A1" w14:textId="3BAB398D" w:rsidR="009F40F1" w:rsidRPr="00A64193" w:rsidRDefault="009F40F1" w:rsidP="009F40F1">
      <w:pPr>
        <w:pStyle w:val="NumberedParagraph"/>
      </w:pPr>
      <w:r w:rsidRPr="00F05941">
        <w:t>If a person is found unfit to be tried, the Court must determine whether there has been established</w:t>
      </w:r>
      <w:r w:rsidR="002234ED">
        <w:t xml:space="preserve"> a </w:t>
      </w:r>
      <w:r w:rsidR="002234ED" w:rsidRPr="00BF0AD5">
        <w:rPr>
          <w:i/>
          <w:iCs/>
        </w:rPr>
        <w:t>prima</w:t>
      </w:r>
      <w:r w:rsidR="002234ED">
        <w:rPr>
          <w:i/>
          <w:iCs/>
        </w:rPr>
        <w:t xml:space="preserve"> facie</w:t>
      </w:r>
      <w:r w:rsidRPr="00F05941">
        <w:rPr>
          <w:spacing w:val="1"/>
        </w:rPr>
        <w:t xml:space="preserve"> </w:t>
      </w:r>
      <w:r w:rsidRPr="00F05941">
        <w:t>case</w:t>
      </w:r>
      <w:r w:rsidRPr="00F05941">
        <w:rPr>
          <w:spacing w:val="1"/>
        </w:rPr>
        <w:t xml:space="preserve"> </w:t>
      </w:r>
      <w:r w:rsidRPr="00F05941">
        <w:t>that the</w:t>
      </w:r>
      <w:r w:rsidRPr="00F05941">
        <w:rPr>
          <w:spacing w:val="-2"/>
        </w:rPr>
        <w:t xml:space="preserve"> </w:t>
      </w:r>
      <w:r w:rsidRPr="00F05941">
        <w:t>person</w:t>
      </w:r>
      <w:r w:rsidRPr="00F05941">
        <w:rPr>
          <w:spacing w:val="-3"/>
        </w:rPr>
        <w:t xml:space="preserve"> </w:t>
      </w:r>
      <w:r w:rsidRPr="00F05941">
        <w:t>committed</w:t>
      </w:r>
      <w:r w:rsidRPr="00F05941">
        <w:rPr>
          <w:spacing w:val="-1"/>
        </w:rPr>
        <w:t xml:space="preserve"> </w:t>
      </w:r>
      <w:r w:rsidRPr="00F05941">
        <w:t>the</w:t>
      </w:r>
      <w:r w:rsidRPr="00F05941">
        <w:rPr>
          <w:spacing w:val="-2"/>
        </w:rPr>
        <w:t xml:space="preserve"> </w:t>
      </w:r>
      <w:r w:rsidRPr="00F05941">
        <w:t>offence:</w:t>
      </w:r>
      <w:r w:rsidRPr="00F05941">
        <w:rPr>
          <w:spacing w:val="-1"/>
        </w:rPr>
        <w:t xml:space="preserve"> </w:t>
      </w:r>
      <w:r>
        <w:t>s</w:t>
      </w:r>
      <w:r w:rsidR="002234ED">
        <w:t>ection</w:t>
      </w:r>
      <w:r>
        <w:t xml:space="preserve"> 2</w:t>
      </w:r>
      <w:r w:rsidRPr="00F05941">
        <w:t>0B(3).</w:t>
      </w:r>
    </w:p>
    <w:p w14:paraId="4C329EB2" w14:textId="20ED70AE" w:rsidR="009F40F1" w:rsidRPr="004D0132" w:rsidRDefault="009F40F1" w:rsidP="00E34801">
      <w:pPr>
        <w:pStyle w:val="Heading2"/>
      </w:pPr>
      <w:bookmarkStart w:id="21" w:name="_Toc147762843"/>
      <w:bookmarkStart w:id="22" w:name="_Toc147931078"/>
      <w:r w:rsidRPr="004D0132">
        <w:t xml:space="preserve">Requirement of a </w:t>
      </w:r>
      <w:r w:rsidRPr="00BF0AD5">
        <w:rPr>
          <w:i/>
          <w:iCs/>
        </w:rPr>
        <w:t>prima facie</w:t>
      </w:r>
      <w:r w:rsidRPr="004D0132">
        <w:t xml:space="preserve"> case</w:t>
      </w:r>
      <w:bookmarkEnd w:id="21"/>
      <w:bookmarkEnd w:id="22"/>
    </w:p>
    <w:p w14:paraId="4CFEFC2A" w14:textId="2B39477D" w:rsidR="009F40F1" w:rsidRPr="00F05941" w:rsidRDefault="009F40F1" w:rsidP="009F40F1">
      <w:pPr>
        <w:pStyle w:val="NumberedParagraph"/>
      </w:pPr>
      <w:r>
        <w:t xml:space="preserve">Section 20B(6) of the </w:t>
      </w:r>
      <w:r w:rsidR="0026548A" w:rsidRPr="0026548A">
        <w:rPr>
          <w:i/>
        </w:rPr>
        <w:t>Crimes Act</w:t>
      </w:r>
      <w:r>
        <w:rPr>
          <w:i/>
        </w:rPr>
        <w:t xml:space="preserve"> </w:t>
      </w:r>
      <w:r>
        <w:t xml:space="preserve">provides that a </w:t>
      </w:r>
      <w:r w:rsidRPr="00BF0AD5">
        <w:rPr>
          <w:i/>
          <w:iCs/>
        </w:rPr>
        <w:t>prima facie</w:t>
      </w:r>
      <w:r>
        <w:t xml:space="preserve"> case is established if there is evidence that</w:t>
      </w:r>
      <w:r>
        <w:rPr>
          <w:spacing w:val="1"/>
        </w:rPr>
        <w:t xml:space="preserve"> </w:t>
      </w:r>
      <w:r>
        <w:t>would (except for the circumstances by reason of which the person is unfit to be tried) provide</w:t>
      </w:r>
      <w:r>
        <w:rPr>
          <w:spacing w:val="1"/>
        </w:rPr>
        <w:t xml:space="preserve"> </w:t>
      </w:r>
      <w:r>
        <w:t>sufficient grounds to put the person on trial in relation to the offence.</w:t>
      </w:r>
      <w:r>
        <w:rPr>
          <w:spacing w:val="1"/>
        </w:rPr>
        <w:t xml:space="preserve"> </w:t>
      </w:r>
      <w:r>
        <w:t>The question is whether there is</w:t>
      </w:r>
      <w:r>
        <w:rPr>
          <w:spacing w:val="-47"/>
        </w:rPr>
        <w:t xml:space="preserve"> </w:t>
      </w:r>
      <w:r>
        <w:t xml:space="preserve"> sufficient evidence upon which the defendant may be convicted.</w:t>
      </w:r>
      <w:r>
        <w:rPr>
          <w:spacing w:val="1"/>
        </w:rPr>
        <w:t xml:space="preserve"> </w:t>
      </w:r>
      <w:r>
        <w:t>There must be evidence capable of</w:t>
      </w:r>
      <w:r>
        <w:rPr>
          <w:spacing w:val="1"/>
        </w:rPr>
        <w:t xml:space="preserve"> </w:t>
      </w:r>
      <w:r>
        <w:t>proving each element of the offence beyond reasonable doubt.</w:t>
      </w:r>
      <w:r>
        <w:rPr>
          <w:spacing w:val="1"/>
        </w:rPr>
        <w:t xml:space="preserve"> </w:t>
      </w:r>
      <w:r>
        <w:t>In making that assessment evidence is</w:t>
      </w:r>
      <w:r>
        <w:rPr>
          <w:spacing w:val="1"/>
        </w:rPr>
        <w:t xml:space="preserve"> to be </w:t>
      </w:r>
      <w:r>
        <w:t>taken</w:t>
      </w:r>
      <w:r>
        <w:rPr>
          <w:spacing w:val="-2"/>
        </w:rPr>
        <w:t xml:space="preserve"> </w:t>
      </w:r>
      <w:r>
        <w:t>at its</w:t>
      </w:r>
      <w:r>
        <w:rPr>
          <w:spacing w:val="-2"/>
        </w:rPr>
        <w:t xml:space="preserve"> </w:t>
      </w:r>
      <w:r>
        <w:t>highest.</w:t>
      </w:r>
      <w:r>
        <w:rPr>
          <w:rStyle w:val="FootnoteReference"/>
        </w:rPr>
        <w:footnoteReference w:id="27"/>
      </w:r>
    </w:p>
    <w:p w14:paraId="6D1CA781" w14:textId="77777777" w:rsidR="009F40F1" w:rsidRPr="00F05941" w:rsidRDefault="009F40F1" w:rsidP="009F40F1">
      <w:pPr>
        <w:pStyle w:val="NumberedParagraph"/>
      </w:pPr>
      <w:r>
        <w:t>The determination</w:t>
      </w:r>
      <w:r>
        <w:rPr>
          <w:spacing w:val="-4"/>
        </w:rPr>
        <w:t xml:space="preserve"> </w:t>
      </w:r>
      <w:r>
        <w:t>of</w:t>
      </w:r>
      <w:r>
        <w:rPr>
          <w:spacing w:val="-2"/>
        </w:rPr>
        <w:t xml:space="preserve"> </w:t>
      </w:r>
      <w:r>
        <w:t>that</w:t>
      </w:r>
      <w:r>
        <w:rPr>
          <w:spacing w:val="-3"/>
        </w:rPr>
        <w:t xml:space="preserve"> </w:t>
      </w:r>
      <w:r>
        <w:t>question</w:t>
      </w:r>
      <w:r>
        <w:rPr>
          <w:spacing w:val="-1"/>
        </w:rPr>
        <w:t xml:space="preserve"> </w:t>
      </w:r>
      <w:r>
        <w:t>is</w:t>
      </w:r>
      <w:r>
        <w:rPr>
          <w:spacing w:val="-3"/>
        </w:rPr>
        <w:t xml:space="preserve"> </w:t>
      </w:r>
      <w:r>
        <w:t>the responsibility</w:t>
      </w:r>
      <w:r>
        <w:rPr>
          <w:spacing w:val="-2"/>
        </w:rPr>
        <w:t xml:space="preserve"> </w:t>
      </w:r>
      <w:r>
        <w:t>of a</w:t>
      </w:r>
      <w:r>
        <w:rPr>
          <w:spacing w:val="-1"/>
        </w:rPr>
        <w:t xml:space="preserve"> </w:t>
      </w:r>
      <w:r>
        <w:t>judge</w:t>
      </w:r>
      <w:r>
        <w:rPr>
          <w:spacing w:val="-3"/>
        </w:rPr>
        <w:t xml:space="preserve"> </w:t>
      </w:r>
      <w:r>
        <w:t>and</w:t>
      </w:r>
      <w:r>
        <w:rPr>
          <w:spacing w:val="-1"/>
        </w:rPr>
        <w:t xml:space="preserve"> </w:t>
      </w:r>
      <w:r>
        <w:t>not</w:t>
      </w:r>
      <w:r>
        <w:rPr>
          <w:spacing w:val="-3"/>
        </w:rPr>
        <w:t xml:space="preserve"> </w:t>
      </w:r>
      <w:r>
        <w:t>a jury.</w:t>
      </w:r>
      <w:r>
        <w:rPr>
          <w:rStyle w:val="FootnoteReference"/>
        </w:rPr>
        <w:footnoteReference w:id="28"/>
      </w:r>
    </w:p>
    <w:p w14:paraId="7F52EE4E" w14:textId="37540E51" w:rsidR="009F40F1" w:rsidRPr="00C5200C" w:rsidRDefault="009F40F1" w:rsidP="009F40F1">
      <w:pPr>
        <w:pStyle w:val="NumberedParagraph"/>
      </w:pPr>
      <w:r w:rsidRPr="00C5200C">
        <w:t>The</w:t>
      </w:r>
      <w:r w:rsidRPr="00C5200C">
        <w:rPr>
          <w:spacing w:val="-1"/>
        </w:rPr>
        <w:t xml:space="preserve"> </w:t>
      </w:r>
      <w:r w:rsidRPr="00C5200C">
        <w:t>relevant</w:t>
      </w:r>
      <w:r w:rsidRPr="00C5200C">
        <w:rPr>
          <w:spacing w:val="-3"/>
        </w:rPr>
        <w:t xml:space="preserve"> </w:t>
      </w:r>
      <w:r w:rsidRPr="00C5200C">
        <w:t>procedure,</w:t>
      </w:r>
      <w:r w:rsidRPr="00C5200C">
        <w:rPr>
          <w:spacing w:val="-3"/>
        </w:rPr>
        <w:t xml:space="preserve"> </w:t>
      </w:r>
      <w:r w:rsidRPr="00C5200C">
        <w:t>which</w:t>
      </w:r>
      <w:r w:rsidRPr="00C5200C">
        <w:rPr>
          <w:spacing w:val="-2"/>
        </w:rPr>
        <w:t xml:space="preserve"> </w:t>
      </w:r>
      <w:r w:rsidRPr="00C5200C">
        <w:t>was followed</w:t>
      </w:r>
      <w:r w:rsidRPr="00C5200C">
        <w:rPr>
          <w:spacing w:val="-2"/>
        </w:rPr>
        <w:t xml:space="preserve"> </w:t>
      </w:r>
      <w:r w:rsidRPr="00C5200C">
        <w:t>in</w:t>
      </w:r>
      <w:r w:rsidRPr="00C5200C">
        <w:rPr>
          <w:spacing w:val="-4"/>
        </w:rPr>
        <w:t xml:space="preserve"> </w:t>
      </w:r>
      <w:r w:rsidRPr="00C5200C">
        <w:t>the</w:t>
      </w:r>
      <w:r w:rsidRPr="00C5200C">
        <w:rPr>
          <w:spacing w:val="-3"/>
        </w:rPr>
        <w:t xml:space="preserve"> </w:t>
      </w:r>
      <w:r w:rsidRPr="00C5200C">
        <w:t>key case</w:t>
      </w:r>
      <w:r w:rsidRPr="00C5200C">
        <w:rPr>
          <w:spacing w:val="-3"/>
        </w:rPr>
        <w:t xml:space="preserve"> </w:t>
      </w:r>
      <w:r w:rsidRPr="00C5200C">
        <w:t xml:space="preserve">of </w:t>
      </w:r>
      <w:r w:rsidRPr="00C5200C">
        <w:rPr>
          <w:i/>
        </w:rPr>
        <w:t>R</w:t>
      </w:r>
      <w:r w:rsidRPr="00C5200C">
        <w:rPr>
          <w:i/>
          <w:spacing w:val="-1"/>
        </w:rPr>
        <w:t xml:space="preserve"> </w:t>
      </w:r>
      <w:r w:rsidRPr="00C5200C">
        <w:rPr>
          <w:i/>
        </w:rPr>
        <w:t>v</w:t>
      </w:r>
      <w:r w:rsidRPr="00C5200C">
        <w:rPr>
          <w:i/>
          <w:spacing w:val="-2"/>
        </w:rPr>
        <w:t xml:space="preserve"> </w:t>
      </w:r>
      <w:r w:rsidRPr="00C5200C">
        <w:rPr>
          <w:i/>
        </w:rPr>
        <w:t>Sharrouf</w:t>
      </w:r>
      <w:r w:rsidRPr="00C5200C">
        <w:rPr>
          <w:i/>
          <w:spacing w:val="-3"/>
        </w:rPr>
        <w:t xml:space="preserve"> </w:t>
      </w:r>
      <w:r w:rsidRPr="00C5200C">
        <w:rPr>
          <w:i/>
        </w:rPr>
        <w:t>(No</w:t>
      </w:r>
      <w:r w:rsidRPr="00C5200C">
        <w:rPr>
          <w:i/>
          <w:spacing w:val="-2"/>
        </w:rPr>
        <w:t xml:space="preserve"> </w:t>
      </w:r>
      <w:r w:rsidRPr="00C5200C">
        <w:rPr>
          <w:i/>
        </w:rPr>
        <w:t>2)</w:t>
      </w:r>
      <w:r w:rsidRPr="00C5200C">
        <w:t>,</w:t>
      </w:r>
      <w:r>
        <w:rPr>
          <w:spacing w:val="-1"/>
        </w:rPr>
        <w:t xml:space="preserve"> </w:t>
      </w:r>
      <w:r w:rsidRPr="00C5200C">
        <w:t>is as</w:t>
      </w:r>
      <w:r w:rsidRPr="00C5200C">
        <w:rPr>
          <w:spacing w:val="-3"/>
        </w:rPr>
        <w:t xml:space="preserve"> </w:t>
      </w:r>
      <w:r w:rsidRPr="00C5200C">
        <w:t>follows:</w:t>
      </w:r>
    </w:p>
    <w:p w14:paraId="2B8D1CA6" w14:textId="77777777" w:rsidR="009F40F1" w:rsidRPr="00C5200C" w:rsidRDefault="009F40F1" w:rsidP="009F40F1">
      <w:pPr>
        <w:pStyle w:val="Tab1"/>
      </w:pPr>
      <w:r w:rsidRPr="00C5200C">
        <w:t>the</w:t>
      </w:r>
      <w:r w:rsidRPr="005E7B17">
        <w:rPr>
          <w:spacing w:val="-1"/>
        </w:rPr>
        <w:t xml:space="preserve"> </w:t>
      </w:r>
      <w:r w:rsidRPr="00C5200C">
        <w:t>Crown</w:t>
      </w:r>
      <w:r w:rsidRPr="005E7B17">
        <w:rPr>
          <w:spacing w:val="-1"/>
        </w:rPr>
        <w:t xml:space="preserve"> </w:t>
      </w:r>
      <w:r w:rsidRPr="00C5200C">
        <w:t>is</w:t>
      </w:r>
      <w:r w:rsidRPr="005E7B17">
        <w:rPr>
          <w:spacing w:val="-4"/>
        </w:rPr>
        <w:t xml:space="preserve"> </w:t>
      </w:r>
      <w:r w:rsidRPr="005E7B17">
        <w:rPr>
          <w:u w:val="single" w:color="404040"/>
        </w:rPr>
        <w:t>not</w:t>
      </w:r>
      <w:r w:rsidRPr="005E7B17">
        <w:rPr>
          <w:spacing w:val="-3"/>
        </w:rPr>
        <w:t xml:space="preserve"> </w:t>
      </w:r>
      <w:r w:rsidRPr="00C5200C">
        <w:t>required</w:t>
      </w:r>
      <w:r w:rsidRPr="005E7B17">
        <w:rPr>
          <w:spacing w:val="-4"/>
        </w:rPr>
        <w:t xml:space="preserve"> </w:t>
      </w:r>
      <w:r w:rsidRPr="00C5200C">
        <w:t>to lead</w:t>
      </w:r>
      <w:r w:rsidRPr="005E7B17">
        <w:rPr>
          <w:spacing w:val="-1"/>
        </w:rPr>
        <w:t xml:space="preserve"> </w:t>
      </w:r>
      <w:r w:rsidRPr="00C5200C">
        <w:t>its</w:t>
      </w:r>
      <w:r w:rsidRPr="005E7B17">
        <w:rPr>
          <w:spacing w:val="-3"/>
        </w:rPr>
        <w:t xml:space="preserve"> </w:t>
      </w:r>
      <w:r w:rsidRPr="00C5200C">
        <w:t>evidence in</w:t>
      </w:r>
      <w:r w:rsidRPr="005E7B17">
        <w:rPr>
          <w:spacing w:val="-2"/>
        </w:rPr>
        <w:t xml:space="preserve"> </w:t>
      </w:r>
      <w:r w:rsidRPr="00C5200C">
        <w:t>the normal</w:t>
      </w:r>
      <w:r w:rsidRPr="005E7B17">
        <w:rPr>
          <w:spacing w:val="-1"/>
        </w:rPr>
        <w:t xml:space="preserve"> </w:t>
      </w:r>
      <w:r w:rsidRPr="00C5200C">
        <w:t>way</w:t>
      </w:r>
      <w:r w:rsidRPr="005E7B17">
        <w:rPr>
          <w:spacing w:val="-1"/>
        </w:rPr>
        <w:t xml:space="preserve"> </w:t>
      </w:r>
      <w:r w:rsidRPr="00C5200C">
        <w:t>by</w:t>
      </w:r>
      <w:r w:rsidRPr="005E7B17">
        <w:rPr>
          <w:spacing w:val="-3"/>
        </w:rPr>
        <w:t xml:space="preserve"> </w:t>
      </w:r>
      <w:r w:rsidRPr="00C5200C">
        <w:t>calling</w:t>
      </w:r>
      <w:r w:rsidRPr="005E7B17">
        <w:rPr>
          <w:spacing w:val="-2"/>
        </w:rPr>
        <w:t xml:space="preserve"> </w:t>
      </w:r>
      <w:r w:rsidRPr="00C5200C">
        <w:t>witnesses;</w:t>
      </w:r>
      <w:r>
        <w:rPr>
          <w:rStyle w:val="FootnoteReference"/>
          <w:rFonts w:cstheme="minorHAnsi"/>
        </w:rPr>
        <w:footnoteReference w:id="29"/>
      </w:r>
    </w:p>
    <w:p w14:paraId="5F90DEF3" w14:textId="27F73B8B" w:rsidR="009F40F1" w:rsidRPr="00C5200C" w:rsidRDefault="009F40F1" w:rsidP="009F40F1">
      <w:pPr>
        <w:pStyle w:val="Tab1"/>
      </w:pPr>
      <w:r w:rsidRPr="00C5200C">
        <w:t>the Crown may provide the Court with the Statement of Facts and the Brief of Evidence that the</w:t>
      </w:r>
      <w:r w:rsidR="00CE351A">
        <w:t xml:space="preserve"> </w:t>
      </w:r>
      <w:r w:rsidRPr="00C5200C">
        <w:rPr>
          <w:spacing w:val="-47"/>
        </w:rPr>
        <w:t xml:space="preserve"> </w:t>
      </w:r>
      <w:r w:rsidRPr="00C5200C">
        <w:t>Crown</w:t>
      </w:r>
      <w:r w:rsidRPr="00C5200C">
        <w:rPr>
          <w:spacing w:val="-3"/>
        </w:rPr>
        <w:t xml:space="preserve"> </w:t>
      </w:r>
      <w:r w:rsidRPr="00C5200C">
        <w:t>would</w:t>
      </w:r>
      <w:r w:rsidRPr="00C5200C">
        <w:rPr>
          <w:spacing w:val="-1"/>
        </w:rPr>
        <w:t xml:space="preserve"> </w:t>
      </w:r>
      <w:r w:rsidRPr="00C5200C">
        <w:t>rely</w:t>
      </w:r>
      <w:r w:rsidRPr="00C5200C">
        <w:rPr>
          <w:spacing w:val="-2"/>
        </w:rPr>
        <w:t xml:space="preserve"> </w:t>
      </w:r>
      <w:r w:rsidRPr="00C5200C">
        <w:t>on</w:t>
      </w:r>
      <w:r w:rsidRPr="00C5200C">
        <w:rPr>
          <w:spacing w:val="-1"/>
        </w:rPr>
        <w:t xml:space="preserve"> </w:t>
      </w:r>
      <w:r w:rsidRPr="00C5200C">
        <w:t>at trial;</w:t>
      </w:r>
      <w:r>
        <w:rPr>
          <w:rStyle w:val="FootnoteReference"/>
          <w:rFonts w:cstheme="minorHAnsi"/>
        </w:rPr>
        <w:footnoteReference w:id="30"/>
      </w:r>
    </w:p>
    <w:p w14:paraId="53C5F787" w14:textId="77777777" w:rsidR="009F40F1" w:rsidRPr="00C5200C" w:rsidRDefault="009F40F1" w:rsidP="009F40F1">
      <w:pPr>
        <w:pStyle w:val="Tab1"/>
      </w:pPr>
      <w:r w:rsidRPr="00C5200C">
        <w:t>the Crown can assist in the process by providing the Court with an analysis of the evidence</w:t>
      </w:r>
      <w:r w:rsidRPr="00C5200C">
        <w:rPr>
          <w:spacing w:val="1"/>
        </w:rPr>
        <w:t xml:space="preserve"> </w:t>
      </w:r>
      <w:r w:rsidRPr="00C5200C">
        <w:t>(depending on jurisdiction, this could comprise the provision of oral submissions and/or the</w:t>
      </w:r>
      <w:r w:rsidRPr="00C5200C">
        <w:rPr>
          <w:spacing w:val="-47"/>
        </w:rPr>
        <w:t xml:space="preserve"> </w:t>
      </w:r>
      <w:r w:rsidRPr="00C5200C">
        <w:t>handing</w:t>
      </w:r>
      <w:r w:rsidRPr="00C5200C">
        <w:rPr>
          <w:spacing w:val="-2"/>
        </w:rPr>
        <w:t xml:space="preserve"> </w:t>
      </w:r>
      <w:r w:rsidRPr="00C5200C">
        <w:t>up</w:t>
      </w:r>
      <w:r w:rsidRPr="00C5200C">
        <w:rPr>
          <w:spacing w:val="-1"/>
        </w:rPr>
        <w:t xml:space="preserve"> </w:t>
      </w:r>
      <w:r w:rsidRPr="00C5200C">
        <w:t>of a written</w:t>
      </w:r>
      <w:r w:rsidRPr="00C5200C">
        <w:rPr>
          <w:spacing w:val="-2"/>
        </w:rPr>
        <w:t xml:space="preserve"> </w:t>
      </w:r>
      <w:r w:rsidRPr="00C5200C">
        <w:t>element</w:t>
      </w:r>
      <w:r w:rsidRPr="00C5200C">
        <w:rPr>
          <w:spacing w:val="-2"/>
        </w:rPr>
        <w:t xml:space="preserve"> </w:t>
      </w:r>
      <w:r w:rsidRPr="00C5200C">
        <w:t>analysis</w:t>
      </w:r>
      <w:r w:rsidRPr="00C5200C">
        <w:rPr>
          <w:spacing w:val="-3"/>
        </w:rPr>
        <w:t xml:space="preserve"> </w:t>
      </w:r>
      <w:r w:rsidRPr="00C5200C">
        <w:t>document);</w:t>
      </w:r>
    </w:p>
    <w:p w14:paraId="6CB5DB6B" w14:textId="77777777" w:rsidR="009F40F1" w:rsidRPr="00C5200C" w:rsidRDefault="009F40F1" w:rsidP="009F40F1">
      <w:pPr>
        <w:pStyle w:val="Tab1"/>
      </w:pPr>
      <w:r w:rsidRPr="00C5200C">
        <w:t xml:space="preserve">the defence can indicate its view on whether the evidence identified establishes a </w:t>
      </w:r>
      <w:r w:rsidRPr="00BF0AD5">
        <w:rPr>
          <w:i/>
          <w:iCs/>
        </w:rPr>
        <w:t>prima facie</w:t>
      </w:r>
      <w:r w:rsidRPr="00C5200C">
        <w:t xml:space="preserve"> case</w:t>
      </w:r>
      <w:r w:rsidRPr="00C5200C">
        <w:rPr>
          <w:spacing w:val="-47"/>
        </w:rPr>
        <w:t xml:space="preserve"> </w:t>
      </w:r>
      <w:r w:rsidRPr="00C5200C">
        <w:t>against the</w:t>
      </w:r>
      <w:r w:rsidRPr="00C5200C">
        <w:rPr>
          <w:spacing w:val="1"/>
        </w:rPr>
        <w:t xml:space="preserve"> </w:t>
      </w:r>
      <w:r w:rsidRPr="00C5200C">
        <w:t>person;</w:t>
      </w:r>
    </w:p>
    <w:p w14:paraId="17AF8EDC" w14:textId="4D3E3FF7" w:rsidR="009F40F1" w:rsidRPr="00C5200C" w:rsidRDefault="009F40F1" w:rsidP="009F40F1">
      <w:pPr>
        <w:pStyle w:val="Tab1"/>
      </w:pPr>
      <w:r>
        <w:t>s</w:t>
      </w:r>
      <w:r w:rsidR="00CE351A">
        <w:t>ection</w:t>
      </w:r>
      <w:r>
        <w:t xml:space="preserve"> 2</w:t>
      </w:r>
      <w:r w:rsidRPr="00C5200C">
        <w:t>0B(7) provides that the person may give evidence, make an unsworn statement, or raise any</w:t>
      </w:r>
      <w:r w:rsidRPr="00C5200C">
        <w:rPr>
          <w:spacing w:val="1"/>
        </w:rPr>
        <w:t xml:space="preserve"> </w:t>
      </w:r>
      <w:r w:rsidRPr="00C5200C">
        <w:t xml:space="preserve">defence that could properly be raised if the proceedings were a trial, and the court may seek </w:t>
      </w:r>
      <w:r w:rsidR="00CE351A">
        <w:rPr>
          <w:spacing w:val="-3"/>
        </w:rPr>
        <w:t xml:space="preserve">such other </w:t>
      </w:r>
      <w:r w:rsidRPr="00C5200C">
        <w:t>evidence,</w:t>
      </w:r>
      <w:r w:rsidRPr="00C5200C">
        <w:rPr>
          <w:spacing w:val="-2"/>
        </w:rPr>
        <w:t xml:space="preserve"> </w:t>
      </w:r>
      <w:r w:rsidRPr="00C5200C">
        <w:t>whether</w:t>
      </w:r>
      <w:r w:rsidRPr="00C5200C">
        <w:rPr>
          <w:spacing w:val="-2"/>
        </w:rPr>
        <w:t xml:space="preserve"> </w:t>
      </w:r>
      <w:r w:rsidRPr="00C5200C">
        <w:t>oral or in</w:t>
      </w:r>
      <w:r w:rsidRPr="00C5200C">
        <w:rPr>
          <w:spacing w:val="-3"/>
        </w:rPr>
        <w:t xml:space="preserve"> </w:t>
      </w:r>
      <w:r w:rsidRPr="00C5200C">
        <w:t>writing,</w:t>
      </w:r>
      <w:r w:rsidRPr="00C5200C">
        <w:rPr>
          <w:spacing w:val="-1"/>
        </w:rPr>
        <w:t xml:space="preserve"> </w:t>
      </w:r>
      <w:r w:rsidRPr="00C5200C">
        <w:t>as</w:t>
      </w:r>
      <w:r w:rsidRPr="00C5200C">
        <w:rPr>
          <w:spacing w:val="-2"/>
        </w:rPr>
        <w:t xml:space="preserve"> </w:t>
      </w:r>
      <w:r w:rsidRPr="00C5200C">
        <w:t>it</w:t>
      </w:r>
      <w:r w:rsidRPr="00C5200C">
        <w:rPr>
          <w:spacing w:val="1"/>
        </w:rPr>
        <w:t xml:space="preserve"> </w:t>
      </w:r>
      <w:r w:rsidRPr="00C5200C">
        <w:t>considers likely</w:t>
      </w:r>
      <w:r w:rsidRPr="00C5200C">
        <w:rPr>
          <w:spacing w:val="-2"/>
        </w:rPr>
        <w:t xml:space="preserve"> </w:t>
      </w:r>
      <w:r w:rsidRPr="00C5200C">
        <w:t>to</w:t>
      </w:r>
      <w:r w:rsidRPr="00C5200C">
        <w:rPr>
          <w:spacing w:val="-1"/>
        </w:rPr>
        <w:t xml:space="preserve"> </w:t>
      </w:r>
      <w:r w:rsidRPr="00C5200C">
        <w:t>assist;</w:t>
      </w:r>
    </w:p>
    <w:p w14:paraId="4508527B" w14:textId="7FCDE0C5" w:rsidR="009F40F1" w:rsidRPr="00C5200C" w:rsidRDefault="009F40F1" w:rsidP="009F40F1">
      <w:pPr>
        <w:pStyle w:val="Tab1"/>
      </w:pPr>
      <w:proofErr w:type="gramStart"/>
      <w:r w:rsidRPr="00C5200C">
        <w:lastRenderedPageBreak/>
        <w:t>with regard to</w:t>
      </w:r>
      <w:proofErr w:type="gramEnd"/>
      <w:r w:rsidRPr="00C5200C">
        <w:t xml:space="preserve"> any committal previously conducted, the Court can take into account the </w:t>
      </w:r>
      <w:r w:rsidR="00CE351A">
        <w:t xml:space="preserve">material relied </w:t>
      </w:r>
      <w:r w:rsidRPr="00C5200C">
        <w:t>upon by the committing Magistrate, and can take into account the basis on which the</w:t>
      </w:r>
      <w:r w:rsidRPr="00C5200C">
        <w:rPr>
          <w:spacing w:val="1"/>
        </w:rPr>
        <w:t xml:space="preserve"> </w:t>
      </w:r>
      <w:r w:rsidRPr="00C5200C">
        <w:t>Magistrate has made a committal order, provided that the Court makes its own analysis of the</w:t>
      </w:r>
      <w:r w:rsidRPr="00C5200C">
        <w:rPr>
          <w:spacing w:val="1"/>
        </w:rPr>
        <w:t xml:space="preserve"> </w:t>
      </w:r>
      <w:r w:rsidRPr="00C5200C">
        <w:t>evidence;</w:t>
      </w:r>
      <w:r>
        <w:rPr>
          <w:rStyle w:val="FootnoteReference"/>
          <w:rFonts w:cstheme="minorHAnsi"/>
          <w:spacing w:val="-2"/>
        </w:rPr>
        <w:footnoteReference w:id="31"/>
      </w:r>
      <w:r>
        <w:rPr>
          <w:spacing w:val="-2"/>
        </w:rPr>
        <w:t xml:space="preserve"> </w:t>
      </w:r>
      <w:r w:rsidRPr="00C5200C">
        <w:t>and</w:t>
      </w:r>
    </w:p>
    <w:p w14:paraId="6B511A3D" w14:textId="436FE246" w:rsidR="009F40F1" w:rsidRPr="00C5200C" w:rsidRDefault="009F40F1" w:rsidP="009F40F1">
      <w:pPr>
        <w:pStyle w:val="Tab1"/>
        <w:rPr>
          <w:rFonts w:cstheme="minorHAnsi"/>
        </w:rPr>
      </w:pPr>
      <w:r w:rsidRPr="00C5200C">
        <w:rPr>
          <w:rFonts w:cstheme="minorHAnsi"/>
          <w:color w:val="404040"/>
        </w:rPr>
        <w:t>the</w:t>
      </w:r>
      <w:r w:rsidRPr="00C5200C">
        <w:rPr>
          <w:rFonts w:cstheme="minorHAnsi"/>
          <w:color w:val="404040"/>
          <w:spacing w:val="-2"/>
        </w:rPr>
        <w:t xml:space="preserve"> </w:t>
      </w:r>
      <w:r w:rsidRPr="00C5200C">
        <w:rPr>
          <w:rFonts w:cstheme="minorHAnsi"/>
          <w:color w:val="404040"/>
        </w:rPr>
        <w:t>judge</w:t>
      </w:r>
      <w:r w:rsidRPr="00C5200C">
        <w:rPr>
          <w:rFonts w:cstheme="minorHAnsi"/>
          <w:color w:val="404040"/>
          <w:spacing w:val="-3"/>
        </w:rPr>
        <w:t xml:space="preserve"> </w:t>
      </w:r>
      <w:proofErr w:type="gramStart"/>
      <w:r w:rsidRPr="00C5200C">
        <w:rPr>
          <w:rFonts w:cstheme="minorHAnsi"/>
          <w:color w:val="404040"/>
        </w:rPr>
        <w:t>makes</w:t>
      </w:r>
      <w:r w:rsidRPr="00C5200C">
        <w:rPr>
          <w:rFonts w:cstheme="minorHAnsi"/>
          <w:color w:val="404040"/>
          <w:spacing w:val="-1"/>
        </w:rPr>
        <w:t xml:space="preserve"> </w:t>
      </w:r>
      <w:r w:rsidRPr="00C5200C">
        <w:rPr>
          <w:rFonts w:cstheme="minorHAnsi"/>
          <w:color w:val="404040"/>
        </w:rPr>
        <w:t>a</w:t>
      </w:r>
      <w:r w:rsidRPr="00C5200C">
        <w:rPr>
          <w:rFonts w:cstheme="minorHAnsi"/>
          <w:color w:val="404040"/>
          <w:spacing w:val="-1"/>
        </w:rPr>
        <w:t xml:space="preserve"> </w:t>
      </w:r>
      <w:r w:rsidRPr="00C5200C">
        <w:rPr>
          <w:rFonts w:cstheme="minorHAnsi"/>
          <w:color w:val="404040"/>
        </w:rPr>
        <w:t>determination</w:t>
      </w:r>
      <w:proofErr w:type="gramEnd"/>
      <w:r w:rsidR="00CE351A">
        <w:rPr>
          <w:rFonts w:cstheme="minorHAnsi"/>
          <w:color w:val="404040"/>
        </w:rPr>
        <w:t>.</w:t>
      </w:r>
    </w:p>
    <w:p w14:paraId="3FBC3F0D" w14:textId="79B1346F" w:rsidR="009F40F1" w:rsidRPr="004D0132" w:rsidRDefault="009F40F1" w:rsidP="00E34801">
      <w:pPr>
        <w:pStyle w:val="Heading2"/>
      </w:pPr>
      <w:bookmarkStart w:id="23" w:name="_Toc147762844"/>
      <w:bookmarkStart w:id="24" w:name="_Toc147931079"/>
      <w:r w:rsidRPr="004D0132">
        <w:t xml:space="preserve">Procedure following </w:t>
      </w:r>
      <w:r w:rsidRPr="00BF0AD5">
        <w:rPr>
          <w:i/>
          <w:iCs/>
        </w:rPr>
        <w:t>prima facie</w:t>
      </w:r>
      <w:r w:rsidRPr="004D0132">
        <w:t xml:space="preserve"> determination</w:t>
      </w:r>
      <w:bookmarkEnd w:id="23"/>
      <w:bookmarkEnd w:id="24"/>
    </w:p>
    <w:p w14:paraId="33CBBCFA" w14:textId="2EB1A2A3" w:rsidR="009F40F1" w:rsidRPr="008878A7" w:rsidRDefault="009F40F1" w:rsidP="009F40F1">
      <w:pPr>
        <w:pStyle w:val="NumberedParagraph"/>
      </w:pPr>
      <w:r w:rsidRPr="008878A7">
        <w:t xml:space="preserve">If a </w:t>
      </w:r>
      <w:r w:rsidRPr="00BF0AD5">
        <w:rPr>
          <w:i/>
          <w:iCs/>
        </w:rPr>
        <w:t>prima facie</w:t>
      </w:r>
      <w:r w:rsidRPr="008878A7">
        <w:t xml:space="preserve"> case is not established, the Court must dismiss the charge and order the release of the</w:t>
      </w:r>
      <w:r>
        <w:t xml:space="preserve"> </w:t>
      </w:r>
      <w:r w:rsidRPr="008878A7">
        <w:rPr>
          <w:spacing w:val="-47"/>
        </w:rPr>
        <w:t xml:space="preserve"> </w:t>
      </w:r>
      <w:r w:rsidRPr="008878A7">
        <w:t>person</w:t>
      </w:r>
      <w:r w:rsidRPr="008878A7">
        <w:rPr>
          <w:spacing w:val="-2"/>
        </w:rPr>
        <w:t xml:space="preserve"> </w:t>
      </w:r>
      <w:r w:rsidRPr="008878A7">
        <w:t>if</w:t>
      </w:r>
      <w:r w:rsidRPr="008878A7">
        <w:rPr>
          <w:spacing w:val="-3"/>
        </w:rPr>
        <w:t xml:space="preserve"> </w:t>
      </w:r>
      <w:r w:rsidRPr="008878A7">
        <w:t>they</w:t>
      </w:r>
      <w:r w:rsidRPr="008878A7">
        <w:rPr>
          <w:spacing w:val="-2"/>
        </w:rPr>
        <w:t xml:space="preserve"> </w:t>
      </w:r>
      <w:r w:rsidRPr="008878A7">
        <w:t>are</w:t>
      </w:r>
      <w:r w:rsidRPr="008878A7">
        <w:rPr>
          <w:spacing w:val="-1"/>
        </w:rPr>
        <w:t xml:space="preserve"> </w:t>
      </w:r>
      <w:r w:rsidRPr="008878A7">
        <w:t>in</w:t>
      </w:r>
      <w:r w:rsidRPr="008878A7">
        <w:rPr>
          <w:spacing w:val="-1"/>
        </w:rPr>
        <w:t xml:space="preserve"> </w:t>
      </w:r>
      <w:r w:rsidRPr="008878A7">
        <w:t xml:space="preserve">custody: </w:t>
      </w:r>
      <w:r>
        <w:t>s</w:t>
      </w:r>
      <w:r w:rsidR="00CE351A">
        <w:t>ection</w:t>
      </w:r>
      <w:r>
        <w:t xml:space="preserve"> 2</w:t>
      </w:r>
      <w:r w:rsidRPr="008878A7">
        <w:t>0BA(1).</w:t>
      </w:r>
    </w:p>
    <w:p w14:paraId="2A1D81D6" w14:textId="77777777" w:rsidR="009F40F1" w:rsidRDefault="009F40F1" w:rsidP="009F40F1">
      <w:pPr>
        <w:pStyle w:val="NumberedParagraph"/>
      </w:pPr>
      <w:r>
        <w:t>If</w:t>
      </w:r>
      <w:r>
        <w:rPr>
          <w:spacing w:val="-1"/>
        </w:rPr>
        <w:t xml:space="preserve"> </w:t>
      </w:r>
      <w:r>
        <w:t>a</w:t>
      </w:r>
      <w:r>
        <w:rPr>
          <w:spacing w:val="-1"/>
        </w:rPr>
        <w:t xml:space="preserve"> </w:t>
      </w:r>
      <w:r w:rsidRPr="00BF0AD5">
        <w:rPr>
          <w:i/>
          <w:iCs/>
        </w:rPr>
        <w:t>prima</w:t>
      </w:r>
      <w:r w:rsidRPr="00BF0AD5">
        <w:rPr>
          <w:i/>
          <w:iCs/>
          <w:spacing w:val="-3"/>
        </w:rPr>
        <w:t xml:space="preserve"> </w:t>
      </w:r>
      <w:r w:rsidRPr="00BF0AD5">
        <w:rPr>
          <w:i/>
          <w:iCs/>
        </w:rPr>
        <w:t>facie</w:t>
      </w:r>
      <w:r>
        <w:rPr>
          <w:spacing w:val="-3"/>
        </w:rPr>
        <w:t xml:space="preserve"> </w:t>
      </w:r>
      <w:r>
        <w:t>case</w:t>
      </w:r>
      <w:r>
        <w:rPr>
          <w:spacing w:val="-2"/>
        </w:rPr>
        <w:t xml:space="preserve"> </w:t>
      </w:r>
      <w:r>
        <w:t>is</w:t>
      </w:r>
      <w:r>
        <w:rPr>
          <w:spacing w:val="-1"/>
        </w:rPr>
        <w:t xml:space="preserve"> </w:t>
      </w:r>
      <w:r>
        <w:t>established,</w:t>
      </w:r>
      <w:r>
        <w:rPr>
          <w:spacing w:val="-1"/>
        </w:rPr>
        <w:t xml:space="preserve"> </w:t>
      </w:r>
      <w:r>
        <w:t>the Court</w:t>
      </w:r>
      <w:r>
        <w:rPr>
          <w:spacing w:val="-3"/>
        </w:rPr>
        <w:t xml:space="preserve"> </w:t>
      </w:r>
      <w:r>
        <w:t>may either:</w:t>
      </w:r>
    </w:p>
    <w:p w14:paraId="490ABF5D" w14:textId="56800FA0" w:rsidR="009F40F1" w:rsidRPr="008878A7" w:rsidRDefault="009F40F1" w:rsidP="009F40F1">
      <w:pPr>
        <w:pStyle w:val="Tab1"/>
      </w:pPr>
      <w:r w:rsidRPr="008878A7">
        <w:t>dismiss</w:t>
      </w:r>
      <w:r w:rsidRPr="005E7B17">
        <w:rPr>
          <w:spacing w:val="-3"/>
        </w:rPr>
        <w:t xml:space="preserve"> </w:t>
      </w:r>
      <w:r w:rsidRPr="008878A7">
        <w:t>the</w:t>
      </w:r>
      <w:r w:rsidRPr="005E7B17">
        <w:rPr>
          <w:spacing w:val="-1"/>
        </w:rPr>
        <w:t xml:space="preserve"> </w:t>
      </w:r>
      <w:r w:rsidRPr="008878A7">
        <w:t>charge</w:t>
      </w:r>
      <w:r w:rsidRPr="005E7B17">
        <w:rPr>
          <w:spacing w:val="-2"/>
        </w:rPr>
        <w:t xml:space="preserve"> </w:t>
      </w:r>
      <w:r w:rsidRPr="008878A7">
        <w:t>and</w:t>
      </w:r>
      <w:r w:rsidRPr="005E7B17">
        <w:rPr>
          <w:spacing w:val="-2"/>
        </w:rPr>
        <w:t xml:space="preserve"> </w:t>
      </w:r>
      <w:r w:rsidRPr="008878A7">
        <w:t>order the</w:t>
      </w:r>
      <w:r w:rsidRPr="005E7B17">
        <w:rPr>
          <w:spacing w:val="-3"/>
        </w:rPr>
        <w:t xml:space="preserve"> </w:t>
      </w:r>
      <w:r w:rsidRPr="008878A7">
        <w:t>release</w:t>
      </w:r>
      <w:r w:rsidRPr="005E7B17">
        <w:rPr>
          <w:spacing w:val="-2"/>
        </w:rPr>
        <w:t xml:space="preserve"> </w:t>
      </w:r>
      <w:r w:rsidRPr="008878A7">
        <w:t>of</w:t>
      </w:r>
      <w:r w:rsidRPr="005E7B17">
        <w:rPr>
          <w:spacing w:val="-1"/>
        </w:rPr>
        <w:t xml:space="preserve"> </w:t>
      </w:r>
      <w:r w:rsidRPr="008878A7">
        <w:t>person</w:t>
      </w:r>
      <w:r w:rsidRPr="005E7B17">
        <w:rPr>
          <w:spacing w:val="-2"/>
        </w:rPr>
        <w:t xml:space="preserve"> </w:t>
      </w:r>
      <w:r w:rsidRPr="008878A7">
        <w:t>if</w:t>
      </w:r>
      <w:r w:rsidRPr="005E7B17">
        <w:rPr>
          <w:spacing w:val="-3"/>
        </w:rPr>
        <w:t xml:space="preserve"> </w:t>
      </w:r>
      <w:r w:rsidRPr="008878A7">
        <w:t>they are</w:t>
      </w:r>
      <w:r w:rsidRPr="005E7B17">
        <w:rPr>
          <w:spacing w:val="1"/>
        </w:rPr>
        <w:t xml:space="preserve"> </w:t>
      </w:r>
      <w:r w:rsidRPr="008878A7">
        <w:t>in</w:t>
      </w:r>
      <w:r w:rsidRPr="005E7B17">
        <w:rPr>
          <w:spacing w:val="-2"/>
        </w:rPr>
        <w:t xml:space="preserve"> </w:t>
      </w:r>
      <w:r w:rsidRPr="008878A7">
        <w:t>custody</w:t>
      </w:r>
      <w:r w:rsidRPr="005E7B17">
        <w:rPr>
          <w:spacing w:val="-2"/>
        </w:rPr>
        <w:t xml:space="preserve"> </w:t>
      </w:r>
      <w:r w:rsidRPr="008878A7">
        <w:t>(</w:t>
      </w:r>
      <w:r>
        <w:t>s</w:t>
      </w:r>
      <w:r w:rsidR="00CE351A">
        <w:t>ection</w:t>
      </w:r>
      <w:r>
        <w:t xml:space="preserve"> 2</w:t>
      </w:r>
      <w:r w:rsidRPr="008878A7">
        <w:t>0BA(2))</w:t>
      </w:r>
      <w:r>
        <w:rPr>
          <w:rStyle w:val="FootnoteReference"/>
          <w:rFonts w:cstheme="minorHAnsi"/>
        </w:rPr>
        <w:footnoteReference w:id="32"/>
      </w:r>
      <w:r w:rsidRPr="005E7B17">
        <w:rPr>
          <w:vertAlign w:val="superscript"/>
        </w:rPr>
        <w:t xml:space="preserve"> </w:t>
      </w:r>
      <w:r>
        <w:t>o</w:t>
      </w:r>
      <w:r w:rsidRPr="008878A7">
        <w:t>r</w:t>
      </w:r>
    </w:p>
    <w:p w14:paraId="3C5C3DB5" w14:textId="310F4992" w:rsidR="009F40F1" w:rsidRPr="008878A7" w:rsidRDefault="009F40F1" w:rsidP="009F40F1">
      <w:pPr>
        <w:pStyle w:val="Tab1"/>
      </w:pPr>
      <w:r w:rsidRPr="008878A7">
        <w:t>the Court may decline to dismiss the charge and it must then determine, on the balance</w:t>
      </w:r>
      <w:r w:rsidR="00CE351A">
        <w:t xml:space="preserve"> of probabilities</w:t>
      </w:r>
      <w:r w:rsidRPr="008878A7">
        <w:t>,</w:t>
      </w:r>
      <w:r w:rsidRPr="008878A7">
        <w:rPr>
          <w:spacing w:val="-1"/>
        </w:rPr>
        <w:t xml:space="preserve"> </w:t>
      </w:r>
      <w:r w:rsidRPr="008878A7">
        <w:t>if</w:t>
      </w:r>
      <w:r w:rsidRPr="008878A7">
        <w:rPr>
          <w:spacing w:val="-4"/>
        </w:rPr>
        <w:t xml:space="preserve"> </w:t>
      </w:r>
      <w:r w:rsidRPr="008878A7">
        <w:t>the person</w:t>
      </w:r>
      <w:r w:rsidRPr="008878A7">
        <w:rPr>
          <w:spacing w:val="-5"/>
        </w:rPr>
        <w:t xml:space="preserve"> </w:t>
      </w:r>
      <w:r w:rsidRPr="008878A7">
        <w:t>will become</w:t>
      </w:r>
      <w:r w:rsidRPr="008878A7">
        <w:rPr>
          <w:spacing w:val="1"/>
        </w:rPr>
        <w:t xml:space="preserve"> </w:t>
      </w:r>
      <w:r w:rsidRPr="008878A7">
        <w:t>fit</w:t>
      </w:r>
      <w:r w:rsidRPr="008878A7">
        <w:rPr>
          <w:spacing w:val="-3"/>
        </w:rPr>
        <w:t xml:space="preserve"> </w:t>
      </w:r>
      <w:r w:rsidRPr="008878A7">
        <w:t>to be</w:t>
      </w:r>
      <w:r w:rsidRPr="008878A7">
        <w:rPr>
          <w:spacing w:val="-2"/>
        </w:rPr>
        <w:t xml:space="preserve"> </w:t>
      </w:r>
      <w:r w:rsidRPr="008878A7">
        <w:t>tried</w:t>
      </w:r>
      <w:r w:rsidRPr="008878A7">
        <w:rPr>
          <w:spacing w:val="-3"/>
        </w:rPr>
        <w:t xml:space="preserve"> </w:t>
      </w:r>
      <w:r w:rsidRPr="008878A7">
        <w:t>within</w:t>
      </w:r>
      <w:r w:rsidRPr="008878A7">
        <w:rPr>
          <w:spacing w:val="-2"/>
        </w:rPr>
        <w:t xml:space="preserve"> </w:t>
      </w:r>
      <w:r w:rsidRPr="008878A7">
        <w:t>12</w:t>
      </w:r>
      <w:r w:rsidRPr="008878A7">
        <w:rPr>
          <w:spacing w:val="-2"/>
        </w:rPr>
        <w:t xml:space="preserve"> </w:t>
      </w:r>
      <w:r w:rsidRPr="008878A7">
        <w:t>months:</w:t>
      </w:r>
      <w:r w:rsidRPr="008878A7">
        <w:rPr>
          <w:spacing w:val="1"/>
        </w:rPr>
        <w:t xml:space="preserve"> </w:t>
      </w:r>
      <w:r>
        <w:t>s</w:t>
      </w:r>
      <w:r w:rsidR="00CE351A">
        <w:t>ection</w:t>
      </w:r>
      <w:r>
        <w:t xml:space="preserve"> 2</w:t>
      </w:r>
      <w:r w:rsidRPr="008878A7">
        <w:t>0BA(4):</w:t>
      </w:r>
    </w:p>
    <w:p w14:paraId="39B82A50" w14:textId="5FF7B2D1" w:rsidR="009F40F1" w:rsidRPr="008878A7" w:rsidRDefault="009F40F1" w:rsidP="009F40F1">
      <w:pPr>
        <w:pStyle w:val="Tab2"/>
      </w:pPr>
      <w:r w:rsidRPr="008878A7">
        <w:t>Where the person is likely to become fit within 12 months (</w:t>
      </w:r>
      <w:r>
        <w:t>s</w:t>
      </w:r>
      <w:r w:rsidR="00CE351A">
        <w:t>ection</w:t>
      </w:r>
      <w:r>
        <w:t xml:space="preserve"> 2</w:t>
      </w:r>
      <w:r w:rsidRPr="008878A7">
        <w:t xml:space="preserve">0BB) </w:t>
      </w:r>
      <w:r w:rsidR="00CE351A">
        <w:t>–</w:t>
      </w:r>
      <w:r w:rsidRPr="008878A7">
        <w:t xml:space="preserve"> the</w:t>
      </w:r>
      <w:r w:rsidR="00CE351A">
        <w:t xml:space="preserve"> </w:t>
      </w:r>
      <w:r w:rsidRPr="008878A7">
        <w:t>Court</w:t>
      </w:r>
      <w:r w:rsidRPr="008878A7">
        <w:rPr>
          <w:spacing w:val="1"/>
        </w:rPr>
        <w:t xml:space="preserve"> </w:t>
      </w:r>
      <w:r w:rsidRPr="008878A7">
        <w:t>must consider whether the person has a mental illness that could be treated in</w:t>
      </w:r>
      <w:r w:rsidRPr="008878A7">
        <w:rPr>
          <w:spacing w:val="1"/>
        </w:rPr>
        <w:t xml:space="preserve"> </w:t>
      </w:r>
      <w:r w:rsidRPr="008878A7">
        <w:t>hospital.</w:t>
      </w:r>
      <w:r w:rsidRPr="008878A7">
        <w:rPr>
          <w:spacing w:val="1"/>
        </w:rPr>
        <w:t xml:space="preserve"> </w:t>
      </w:r>
      <w:r w:rsidRPr="008878A7">
        <w:t>If so, and the person does not object, the court must order that the</w:t>
      </w:r>
      <w:r w:rsidRPr="008878A7">
        <w:rPr>
          <w:spacing w:val="1"/>
        </w:rPr>
        <w:t xml:space="preserve"> </w:t>
      </w:r>
      <w:r w:rsidRPr="008878A7">
        <w:t>person be detained in a hospital (</w:t>
      </w:r>
      <w:r>
        <w:t>s</w:t>
      </w:r>
      <w:r w:rsidR="00CE351A">
        <w:t>ection</w:t>
      </w:r>
      <w:r>
        <w:t xml:space="preserve"> 2</w:t>
      </w:r>
      <w:r w:rsidRPr="008878A7">
        <w:t>0BB(2)(a)). If the mental illness cannot be</w:t>
      </w:r>
      <w:r w:rsidRPr="008878A7">
        <w:rPr>
          <w:spacing w:val="1"/>
        </w:rPr>
        <w:t xml:space="preserve"> </w:t>
      </w:r>
      <w:r w:rsidRPr="008878A7">
        <w:t>treated in a hospital, or if the illness could be treated in a hospital but the person</w:t>
      </w:r>
      <w:r w:rsidRPr="008878A7">
        <w:rPr>
          <w:spacing w:val="-47"/>
        </w:rPr>
        <w:t xml:space="preserve"> </w:t>
      </w:r>
      <w:r>
        <w:t xml:space="preserve"> o</w:t>
      </w:r>
      <w:r w:rsidRPr="008878A7">
        <w:t>bjects to such treatment, the court must either order the person be detained</w:t>
      </w:r>
      <w:r w:rsidRPr="008878A7">
        <w:rPr>
          <w:spacing w:val="1"/>
        </w:rPr>
        <w:t xml:space="preserve"> </w:t>
      </w:r>
      <w:r w:rsidRPr="008878A7">
        <w:t xml:space="preserve">elsewhere, including in a prison, </w:t>
      </w:r>
      <w:r w:rsidRPr="008878A7">
        <w:rPr>
          <w:u w:val="single" w:color="404040"/>
        </w:rPr>
        <w:t>or</w:t>
      </w:r>
      <w:r w:rsidRPr="008878A7">
        <w:t xml:space="preserve"> be released on bail with a residence condition</w:t>
      </w:r>
      <w:r w:rsidRPr="008878A7">
        <w:rPr>
          <w:spacing w:val="-47"/>
        </w:rPr>
        <w:t xml:space="preserve"> </w:t>
      </w:r>
      <w:r w:rsidRPr="008878A7">
        <w:t>(</w:t>
      </w:r>
      <w:r>
        <w:t>s</w:t>
      </w:r>
      <w:r w:rsidR="00CE351A">
        <w:t>ection</w:t>
      </w:r>
      <w:r>
        <w:t xml:space="preserve"> 2</w:t>
      </w:r>
      <w:r w:rsidRPr="008878A7">
        <w:t>0BB(2)(b)</w:t>
      </w:r>
      <w:r>
        <w:t>)</w:t>
      </w:r>
      <w:r w:rsidRPr="008878A7">
        <w:t>.</w:t>
      </w:r>
      <w:r>
        <w:t xml:space="preserve"> </w:t>
      </w:r>
      <w:r w:rsidRPr="008878A7">
        <w:t>In each case, the duration of the order will be until the person</w:t>
      </w:r>
      <w:r w:rsidRPr="008878A7">
        <w:rPr>
          <w:spacing w:val="1"/>
        </w:rPr>
        <w:t xml:space="preserve"> </w:t>
      </w:r>
      <w:r w:rsidRPr="008878A7">
        <w:t>becomes fit within the determination period or until a final order is made for</w:t>
      </w:r>
      <w:r w:rsidRPr="008878A7">
        <w:rPr>
          <w:spacing w:val="1"/>
        </w:rPr>
        <w:t xml:space="preserve"> </w:t>
      </w:r>
      <w:r w:rsidRPr="008878A7">
        <w:t>detention</w:t>
      </w:r>
      <w:r w:rsidRPr="008878A7">
        <w:rPr>
          <w:spacing w:val="-1"/>
        </w:rPr>
        <w:t xml:space="preserve"> </w:t>
      </w:r>
      <w:r w:rsidRPr="008878A7">
        <w:t>or</w:t>
      </w:r>
      <w:r w:rsidRPr="008878A7">
        <w:rPr>
          <w:spacing w:val="-4"/>
        </w:rPr>
        <w:t xml:space="preserve"> </w:t>
      </w:r>
      <w:r w:rsidRPr="008878A7">
        <w:t>conditional release.</w:t>
      </w:r>
    </w:p>
    <w:p w14:paraId="693C0591" w14:textId="139E36C7" w:rsidR="009F40F1" w:rsidRPr="008878A7" w:rsidRDefault="009F40F1" w:rsidP="009F40F1">
      <w:pPr>
        <w:pStyle w:val="Tab2"/>
      </w:pPr>
      <w:r w:rsidRPr="008878A7">
        <w:t xml:space="preserve">Where </w:t>
      </w:r>
      <w:r>
        <w:t xml:space="preserve">the </w:t>
      </w:r>
      <w:r w:rsidRPr="008878A7">
        <w:t>person</w:t>
      </w:r>
      <w:r>
        <w:t xml:space="preserve"> is</w:t>
      </w:r>
      <w:r w:rsidRPr="008878A7">
        <w:t xml:space="preserve"> </w:t>
      </w:r>
      <w:r w:rsidRPr="008878A7">
        <w:rPr>
          <w:u w:val="single" w:color="404040"/>
        </w:rPr>
        <w:t>not</w:t>
      </w:r>
      <w:r w:rsidRPr="008878A7">
        <w:t xml:space="preserve"> likely to become fit within 12 months (</w:t>
      </w:r>
      <w:r>
        <w:t>s</w:t>
      </w:r>
      <w:r w:rsidR="00CE351A">
        <w:t>ection</w:t>
      </w:r>
      <w:r>
        <w:t xml:space="preserve"> 2</w:t>
      </w:r>
      <w:r w:rsidRPr="008878A7">
        <w:t xml:space="preserve">0BC) </w:t>
      </w:r>
      <w:r w:rsidR="00CE351A">
        <w:t>–</w:t>
      </w:r>
      <w:r w:rsidRPr="008878A7">
        <w:t xml:space="preserve"> outcomes</w:t>
      </w:r>
      <w:r w:rsidR="00CE351A">
        <w:t xml:space="preserve"> </w:t>
      </w:r>
      <w:r w:rsidRPr="008878A7">
        <w:t>can</w:t>
      </w:r>
      <w:r w:rsidRPr="008878A7">
        <w:rPr>
          <w:spacing w:val="1"/>
        </w:rPr>
        <w:t xml:space="preserve"> </w:t>
      </w:r>
      <w:r w:rsidRPr="008878A7">
        <w:t>include the person being detained in hospital for treatment (</w:t>
      </w:r>
      <w:r>
        <w:t>s</w:t>
      </w:r>
      <w:r w:rsidR="00CE351A">
        <w:t>ection</w:t>
      </w:r>
      <w:r>
        <w:t xml:space="preserve"> 2</w:t>
      </w:r>
      <w:r w:rsidRPr="008878A7">
        <w:t>0BC(2)(a)). If the</w:t>
      </w:r>
      <w:r w:rsidRPr="008878A7">
        <w:rPr>
          <w:spacing w:val="1"/>
        </w:rPr>
        <w:t xml:space="preserve"> </w:t>
      </w:r>
      <w:r w:rsidRPr="008878A7">
        <w:t>mental illness cannot be treated in a hospital (or if the illness could be treated in a</w:t>
      </w:r>
      <w:r w:rsidRPr="008878A7">
        <w:rPr>
          <w:spacing w:val="-47"/>
        </w:rPr>
        <w:t xml:space="preserve"> </w:t>
      </w:r>
      <w:r w:rsidRPr="008878A7">
        <w:t>hospital but the person objects to such treatment), the person can be detained in</w:t>
      </w:r>
      <w:r w:rsidRPr="008878A7">
        <w:rPr>
          <w:spacing w:val="1"/>
        </w:rPr>
        <w:t xml:space="preserve"> </w:t>
      </w:r>
      <w:r w:rsidRPr="008878A7">
        <w:t>a place other than a hospital, including a prison (</w:t>
      </w:r>
      <w:r>
        <w:t>s</w:t>
      </w:r>
      <w:r w:rsidR="00CE351A">
        <w:t>ection</w:t>
      </w:r>
      <w:r>
        <w:t xml:space="preserve"> 2</w:t>
      </w:r>
      <w:r w:rsidRPr="008878A7">
        <w:t>0BC(2)(b)</w:t>
      </w:r>
      <w:r>
        <w:t>)</w:t>
      </w:r>
      <w:r w:rsidRPr="008878A7">
        <w:t>. Alternatively, the</w:t>
      </w:r>
      <w:r w:rsidRPr="008878A7">
        <w:rPr>
          <w:spacing w:val="1"/>
        </w:rPr>
        <w:t xml:space="preserve"> </w:t>
      </w:r>
      <w:r w:rsidRPr="008878A7">
        <w:t>person may be released from custody to live in the community, with or without</w:t>
      </w:r>
      <w:r w:rsidRPr="008878A7">
        <w:rPr>
          <w:spacing w:val="1"/>
        </w:rPr>
        <w:t xml:space="preserve"> </w:t>
      </w:r>
      <w:r w:rsidRPr="008878A7">
        <w:t>conditions</w:t>
      </w:r>
      <w:r w:rsidRPr="008878A7">
        <w:rPr>
          <w:spacing w:val="-4"/>
        </w:rPr>
        <w:t xml:space="preserve"> </w:t>
      </w:r>
      <w:r w:rsidRPr="008878A7">
        <w:t>(</w:t>
      </w:r>
      <w:r>
        <w:t>s</w:t>
      </w:r>
      <w:r w:rsidR="00CE351A">
        <w:t>ection</w:t>
      </w:r>
      <w:r>
        <w:t xml:space="preserve"> 2</w:t>
      </w:r>
      <w:r w:rsidRPr="008878A7">
        <w:t>0BC(5)).</w:t>
      </w:r>
    </w:p>
    <w:p w14:paraId="3EAE88F5" w14:textId="37A81FCC" w:rsidR="009F40F1" w:rsidRPr="006F47DD" w:rsidRDefault="009F40F1" w:rsidP="009F40F1">
      <w:pPr>
        <w:pStyle w:val="NumberedParagraph"/>
      </w:pPr>
      <w:r w:rsidRPr="006F47DD">
        <w:t>Division 6 sets out the applicable procedure in all possible situations and the legislation should be</w:t>
      </w:r>
      <w:r w:rsidRPr="006F47DD">
        <w:rPr>
          <w:spacing w:val="-47"/>
        </w:rPr>
        <w:t xml:space="preserve"> </w:t>
      </w:r>
      <w:r>
        <w:t xml:space="preserve"> c</w:t>
      </w:r>
      <w:r w:rsidRPr="006F47DD">
        <w:t>onsulted</w:t>
      </w:r>
      <w:r w:rsidRPr="006F47DD">
        <w:rPr>
          <w:spacing w:val="-1"/>
        </w:rPr>
        <w:t xml:space="preserve"> </w:t>
      </w:r>
      <w:r w:rsidRPr="006F47DD">
        <w:t>directly for full</w:t>
      </w:r>
      <w:r w:rsidRPr="006F47DD">
        <w:rPr>
          <w:spacing w:val="-1"/>
        </w:rPr>
        <w:t xml:space="preserve"> </w:t>
      </w:r>
      <w:r w:rsidRPr="006F47DD">
        <w:t>detail. Flowcharts</w:t>
      </w:r>
      <w:r w:rsidRPr="006F47DD">
        <w:rPr>
          <w:spacing w:val="-3"/>
        </w:rPr>
        <w:t xml:space="preserve"> </w:t>
      </w:r>
      <w:r w:rsidRPr="006F47DD">
        <w:t xml:space="preserve">are provided </w:t>
      </w:r>
      <w:r w:rsidR="00CE351A">
        <w:t>in</w:t>
      </w:r>
      <w:r w:rsidRPr="006F47DD">
        <w:t xml:space="preserve"> Annexure A.</w:t>
      </w:r>
    </w:p>
    <w:p w14:paraId="48C8ED74" w14:textId="65A0A022" w:rsidR="009F40F1" w:rsidRPr="004D0132" w:rsidRDefault="009F40F1" w:rsidP="00E34801">
      <w:pPr>
        <w:pStyle w:val="Heading2"/>
      </w:pPr>
      <w:bookmarkStart w:id="25" w:name="_Toc147762845"/>
      <w:bookmarkStart w:id="26" w:name="_Toc147931080"/>
      <w:r w:rsidRPr="004D0132">
        <w:t>Recording outcomes in CaseHQ</w:t>
      </w:r>
      <w:bookmarkEnd w:id="25"/>
      <w:bookmarkEnd w:id="26"/>
    </w:p>
    <w:p w14:paraId="5F4A5BCC" w14:textId="77777777" w:rsidR="009F40F1" w:rsidRDefault="009F40F1" w:rsidP="009F40F1">
      <w:pPr>
        <w:pStyle w:val="NumberedParagraph"/>
      </w:pPr>
      <w:r>
        <w:t>At</w:t>
      </w:r>
      <w:r>
        <w:rPr>
          <w:spacing w:val="-1"/>
        </w:rPr>
        <w:t xml:space="preserve"> </w:t>
      </w:r>
      <w:r>
        <w:t>the</w:t>
      </w:r>
      <w:r>
        <w:rPr>
          <w:spacing w:val="-2"/>
        </w:rPr>
        <w:t xml:space="preserve"> </w:t>
      </w:r>
      <w:r>
        <w:t>conclusion</w:t>
      </w:r>
      <w:r>
        <w:rPr>
          <w:spacing w:val="-3"/>
        </w:rPr>
        <w:t xml:space="preserve"> </w:t>
      </w:r>
      <w:r>
        <w:t>of</w:t>
      </w:r>
      <w:r>
        <w:rPr>
          <w:spacing w:val="-1"/>
        </w:rPr>
        <w:t xml:space="preserve"> </w:t>
      </w:r>
      <w:r>
        <w:t>the</w:t>
      </w:r>
      <w:r>
        <w:rPr>
          <w:spacing w:val="-2"/>
        </w:rPr>
        <w:t xml:space="preserve"> </w:t>
      </w:r>
      <w:r>
        <w:t>matter,</w:t>
      </w:r>
      <w:r>
        <w:rPr>
          <w:spacing w:val="-2"/>
        </w:rPr>
        <w:t xml:space="preserve"> </w:t>
      </w:r>
      <w:r>
        <w:t>any</w:t>
      </w:r>
      <w:r>
        <w:rPr>
          <w:spacing w:val="-1"/>
        </w:rPr>
        <w:t xml:space="preserve"> </w:t>
      </w:r>
      <w:r>
        <w:t>applicable</w:t>
      </w:r>
      <w:r>
        <w:rPr>
          <w:spacing w:val="-3"/>
        </w:rPr>
        <w:t xml:space="preserve"> </w:t>
      </w:r>
      <w:r>
        <w:t>outcomes</w:t>
      </w:r>
      <w:r>
        <w:rPr>
          <w:spacing w:val="-2"/>
        </w:rPr>
        <w:t xml:space="preserve"> </w:t>
      </w:r>
      <w:r>
        <w:t>must</w:t>
      </w:r>
      <w:r>
        <w:rPr>
          <w:spacing w:val="-1"/>
        </w:rPr>
        <w:t xml:space="preserve"> </w:t>
      </w:r>
      <w:r>
        <w:t>be</w:t>
      </w:r>
      <w:r>
        <w:rPr>
          <w:spacing w:val="1"/>
        </w:rPr>
        <w:t xml:space="preserve"> </w:t>
      </w:r>
      <w:r>
        <w:t>recorded in</w:t>
      </w:r>
      <w:r>
        <w:rPr>
          <w:spacing w:val="-2"/>
        </w:rPr>
        <w:t xml:space="preserve"> </w:t>
      </w:r>
      <w:r>
        <w:t>CaseHQ.</w:t>
      </w:r>
      <w:r>
        <w:rPr>
          <w:rStyle w:val="FootnoteReference"/>
        </w:rPr>
        <w:footnoteReference w:id="33"/>
      </w:r>
    </w:p>
    <w:p w14:paraId="0B9A5C10" w14:textId="3D4D07B6" w:rsidR="009F40F1" w:rsidRPr="004D0132" w:rsidRDefault="009F40F1" w:rsidP="009F40F1">
      <w:pPr>
        <w:pStyle w:val="Heading1"/>
      </w:pPr>
      <w:bookmarkStart w:id="27" w:name="_Toc147762846"/>
      <w:bookmarkStart w:id="28" w:name="_Toc147931081"/>
      <w:r w:rsidRPr="004D0132">
        <w:t xml:space="preserve">Summary disposition of persons suffering from mental illness or intellectual disability: </w:t>
      </w:r>
      <w:r w:rsidR="005D55A2">
        <w:t>S</w:t>
      </w:r>
      <w:r w:rsidRPr="004D0132">
        <w:t xml:space="preserve">ection 20BQ </w:t>
      </w:r>
      <w:r w:rsidR="00CE351A">
        <w:t xml:space="preserve">of the </w:t>
      </w:r>
      <w:r w:rsidR="0026548A" w:rsidRPr="0026548A">
        <w:rPr>
          <w:i/>
          <w:iCs/>
        </w:rPr>
        <w:t>Crimes Act</w:t>
      </w:r>
      <w:bookmarkEnd w:id="27"/>
      <w:bookmarkEnd w:id="28"/>
    </w:p>
    <w:p w14:paraId="3BCA8D62" w14:textId="2A5BB0A6" w:rsidR="009F40F1" w:rsidRDefault="009F40F1" w:rsidP="009F40F1">
      <w:pPr>
        <w:pStyle w:val="NumberedParagraph"/>
      </w:pPr>
      <w:r w:rsidRPr="006F47DD">
        <w:t>Commonwealth law makes no provision, in relation to a proceeding for a summary offence or the</w:t>
      </w:r>
      <w:r w:rsidRPr="00F64BFC">
        <w:rPr>
          <w:spacing w:val="1"/>
        </w:rPr>
        <w:t xml:space="preserve"> </w:t>
      </w:r>
      <w:r w:rsidRPr="006F47DD">
        <w:t>summary determination of an indictable offence, for determining that the defendant is unfit to plead or</w:t>
      </w:r>
      <w:r>
        <w:t xml:space="preserve"> </w:t>
      </w:r>
      <w:r w:rsidRPr="00F64BFC">
        <w:rPr>
          <w:spacing w:val="-47"/>
        </w:rPr>
        <w:t xml:space="preserve"> </w:t>
      </w:r>
      <w:r w:rsidRPr="006F47DD">
        <w:t>to stand trial. Nor does the common law.</w:t>
      </w:r>
      <w:r w:rsidRPr="00F64BFC">
        <w:rPr>
          <w:spacing w:val="1"/>
        </w:rPr>
        <w:t xml:space="preserve"> </w:t>
      </w:r>
      <w:r w:rsidRPr="006F47DD">
        <w:t>However, s</w:t>
      </w:r>
      <w:r w:rsidR="0084368E">
        <w:t>ection</w:t>
      </w:r>
      <w:r w:rsidRPr="006F47DD">
        <w:t xml:space="preserve"> 20BQ of the </w:t>
      </w:r>
      <w:r w:rsidR="0026548A" w:rsidRPr="0026548A">
        <w:rPr>
          <w:i/>
        </w:rPr>
        <w:t>Crimes Act</w:t>
      </w:r>
      <w:r w:rsidRPr="00F64BFC">
        <w:rPr>
          <w:i/>
        </w:rPr>
        <w:t xml:space="preserve"> </w:t>
      </w:r>
      <w:r w:rsidRPr="006F47DD">
        <w:t xml:space="preserve">provides for a diversionary measure </w:t>
      </w:r>
      <w:r w:rsidRPr="006F47DD">
        <w:lastRenderedPageBreak/>
        <w:t>in summary criminal proceedings in respect of persons suffering</w:t>
      </w:r>
      <w:r w:rsidRPr="00F64BFC">
        <w:rPr>
          <w:spacing w:val="1"/>
        </w:rPr>
        <w:t xml:space="preserve"> </w:t>
      </w:r>
      <w:r w:rsidRPr="006F47DD">
        <w:t>from a mental illness or an intellectual disability at the time of proceedings.</w:t>
      </w:r>
      <w:r>
        <w:rPr>
          <w:rStyle w:val="FootnoteReference"/>
          <w:rFonts w:asciiTheme="minorHAnsi" w:hAnsiTheme="minorHAnsi" w:cstheme="minorHAnsi"/>
        </w:rPr>
        <w:footnoteReference w:id="34"/>
      </w:r>
      <w:r w:rsidRPr="00F64BFC">
        <w:rPr>
          <w:spacing w:val="1"/>
        </w:rPr>
        <w:t xml:space="preserve"> </w:t>
      </w:r>
    </w:p>
    <w:p w14:paraId="649EAB96" w14:textId="604C76A7" w:rsidR="009F40F1" w:rsidRDefault="009F40F1" w:rsidP="009F40F1">
      <w:pPr>
        <w:pStyle w:val="NumberedParagraph"/>
      </w:pPr>
      <w:r w:rsidRPr="005E7B17">
        <w:t>On its face, s</w:t>
      </w:r>
      <w:r w:rsidR="0084368E">
        <w:t>ection</w:t>
      </w:r>
      <w:r>
        <w:t xml:space="preserve"> </w:t>
      </w:r>
      <w:r w:rsidRPr="005E7B17">
        <w:t xml:space="preserve">20BQ is capable of being applied at any stage of a summary proceeding (including a proceeding involving the summary determination of an indictable offence) and is capable of being used in relation to a defendant who is unfit to plead or unfit to be tried, by reason of mental illness or intellectual disability. </w:t>
      </w:r>
      <w:proofErr w:type="gramStart"/>
      <w:r w:rsidRPr="005E7B17">
        <w:t>However</w:t>
      </w:r>
      <w:proofErr w:type="gramEnd"/>
      <w:r w:rsidRPr="005E7B17">
        <w:t xml:space="preserve"> </w:t>
      </w:r>
      <w:r>
        <w:t xml:space="preserve">in two decisions of Supreme Court of South </w:t>
      </w:r>
      <w:r w:rsidRPr="0024203C">
        <w:t>Australia,</w:t>
      </w:r>
      <w:r w:rsidRPr="0024203C">
        <w:rPr>
          <w:rStyle w:val="FootnoteReference"/>
          <w:rFonts w:asciiTheme="minorHAnsi" w:hAnsiTheme="minorHAnsi" w:cstheme="minorHAnsi"/>
        </w:rPr>
        <w:footnoteReference w:id="35"/>
      </w:r>
      <w:r w:rsidRPr="0024203C">
        <w:rPr>
          <w:rStyle w:val="FootnoteReference"/>
          <w:rFonts w:asciiTheme="minorHAnsi" w:hAnsiTheme="minorHAnsi" w:cstheme="minorHAnsi"/>
        </w:rPr>
        <w:t xml:space="preserve"> </w:t>
      </w:r>
      <w:r w:rsidRPr="0024203C">
        <w:t xml:space="preserve">Gray </w:t>
      </w:r>
      <w:r>
        <w:t>J has read down s</w:t>
      </w:r>
      <w:r w:rsidR="0084368E">
        <w:t>ection</w:t>
      </w:r>
      <w:r>
        <w:t xml:space="preserve"> 20BQ; his Honour held that it applies only when no plea has been entered. The correctness of these decisions is open to doubt. </w:t>
      </w:r>
      <w:proofErr w:type="gramStart"/>
      <w:r w:rsidR="0084368E">
        <w:t>However</w:t>
      </w:r>
      <w:proofErr w:type="gramEnd"/>
      <w:r w:rsidR="0084368E">
        <w:t xml:space="preserve"> </w:t>
      </w:r>
      <w:r>
        <w:t xml:space="preserve">they are binding on Magistrates in South Australia and at least highly persuasive for such courts in other jurisdictions. </w:t>
      </w:r>
      <w:r w:rsidRPr="005E7B17">
        <w:t>A strong line of authority in relation to a cognate provision in New South Wales, upon which s</w:t>
      </w:r>
      <w:r w:rsidR="0084368E">
        <w:t>ection</w:t>
      </w:r>
      <w:r>
        <w:t xml:space="preserve"> </w:t>
      </w:r>
      <w:r w:rsidRPr="005E7B17">
        <w:t>20BQ appears to have been based, holds that the provision may be used at any stage of a summary proceeding and may be used in an appropriate case in relation to a person suffering from mental illness or intellectual disability, including a person who is unfit to plead or unfit to be tried</w:t>
      </w:r>
      <w:r>
        <w:t>.</w:t>
      </w:r>
      <w:r w:rsidRPr="005E7B17">
        <w:rPr>
          <w:rStyle w:val="FootnoteReference"/>
          <w:rFonts w:asciiTheme="minorHAnsi" w:hAnsiTheme="minorHAnsi" w:cstheme="minorHAnsi"/>
          <w:color w:val="404040"/>
        </w:rPr>
        <w:footnoteReference w:id="36"/>
      </w:r>
      <w:r w:rsidRPr="005E7B17">
        <w:t xml:space="preserve"> The CDPP position is that it seems to be at least highly arguable that s</w:t>
      </w:r>
      <w:r w:rsidR="0084368E">
        <w:t>ection</w:t>
      </w:r>
      <w:r>
        <w:t xml:space="preserve"> </w:t>
      </w:r>
      <w:r w:rsidRPr="005E7B17">
        <w:t>20BQ is open to a similar construction</w:t>
      </w:r>
      <w:r w:rsidR="00622B56">
        <w:t>.</w:t>
      </w:r>
    </w:p>
    <w:p w14:paraId="585A5717" w14:textId="62AA3A35" w:rsidR="009F40F1" w:rsidRPr="00A56DB8" w:rsidRDefault="009F40F1" w:rsidP="009F40F1">
      <w:pPr>
        <w:pStyle w:val="NumberedParagraph"/>
        <w:rPr>
          <w:b/>
          <w:color w:val="FF0000"/>
        </w:rPr>
      </w:pPr>
      <w:r>
        <w:t>That said, if the issue of the defendant suffering from a mental illness or intellectual disability only becomes apparent after a plea has been entered and the Court is inclined to follow the decisions of Gray J, the defendant can apply to withdraw their plea. If this occurs, the CDPP may decide not to oppose any such application.</w:t>
      </w:r>
    </w:p>
    <w:p w14:paraId="1CCC0000" w14:textId="5A299AF2" w:rsidR="009F40F1" w:rsidRPr="00A56DB8" w:rsidRDefault="009F40F1" w:rsidP="009F40F1">
      <w:pPr>
        <w:pStyle w:val="NumberedParagraph"/>
        <w:rPr>
          <w:b/>
          <w:color w:val="FF0000"/>
        </w:rPr>
      </w:pPr>
      <w:r>
        <w:t>In a passing remark in one of the South Australian cases,</w:t>
      </w:r>
      <w:r>
        <w:rPr>
          <w:rStyle w:val="FootnoteReference"/>
        </w:rPr>
        <w:footnoteReference w:id="37"/>
      </w:r>
      <w:r>
        <w:t xml:space="preserve"> Gray J indicated that s</w:t>
      </w:r>
      <w:r w:rsidR="0084368E">
        <w:t>ection</w:t>
      </w:r>
      <w:r>
        <w:t xml:space="preserve"> 20BQ may be limited to cases when a defendant is unfit to plead or to be tried. However, given the language of the section and the nature of the remark, there does not seem to be a basis to limit s</w:t>
      </w:r>
      <w:r w:rsidR="0084368E">
        <w:t>ection</w:t>
      </w:r>
      <w:r>
        <w:t xml:space="preserve"> 20BQ only to cases where the defendant is unfit to plead. Rather, it may be used in an appropriate case in relation to a person suffering from mental illness or intellectual disability, including a person who is fit to plead or fit to be tried, or where a finding of fitness has not been made by the Court.</w:t>
      </w:r>
    </w:p>
    <w:p w14:paraId="5928B007" w14:textId="764484D5" w:rsidR="009F40F1" w:rsidRDefault="009F40F1" w:rsidP="009F40F1">
      <w:pPr>
        <w:pStyle w:val="NumberedParagraph"/>
      </w:pPr>
      <w:r w:rsidRPr="00C27C79">
        <w:t>Section</w:t>
      </w:r>
      <w:r w:rsidRPr="00C27C79">
        <w:rPr>
          <w:spacing w:val="-5"/>
        </w:rPr>
        <w:t xml:space="preserve"> </w:t>
      </w:r>
      <w:r w:rsidRPr="00C27C79">
        <w:t>20BQ is</w:t>
      </w:r>
      <w:r w:rsidRPr="00C27C79">
        <w:rPr>
          <w:spacing w:val="-2"/>
        </w:rPr>
        <w:t xml:space="preserve"> </w:t>
      </w:r>
      <w:r w:rsidRPr="00C27C79">
        <w:t>commonly</w:t>
      </w:r>
      <w:r w:rsidRPr="00C27C79">
        <w:rPr>
          <w:spacing w:val="-2"/>
        </w:rPr>
        <w:t xml:space="preserve"> </w:t>
      </w:r>
      <w:r w:rsidRPr="00C27C79">
        <w:t>raised by</w:t>
      </w:r>
      <w:r w:rsidRPr="00C27C79">
        <w:rPr>
          <w:spacing w:val="-2"/>
        </w:rPr>
        <w:t xml:space="preserve"> </w:t>
      </w:r>
      <w:r w:rsidRPr="00C27C79">
        <w:t>the person</w:t>
      </w:r>
      <w:r w:rsidRPr="00C27C79">
        <w:rPr>
          <w:spacing w:val="-3"/>
        </w:rPr>
        <w:t xml:space="preserve"> </w:t>
      </w:r>
      <w:r w:rsidRPr="00C27C79">
        <w:t>or</w:t>
      </w:r>
      <w:r w:rsidRPr="00C27C79">
        <w:rPr>
          <w:spacing w:val="-2"/>
        </w:rPr>
        <w:t xml:space="preserve"> </w:t>
      </w:r>
      <w:r w:rsidRPr="00C27C79">
        <w:t>their</w:t>
      </w:r>
      <w:r w:rsidRPr="00C27C79">
        <w:rPr>
          <w:spacing w:val="-1"/>
        </w:rPr>
        <w:t xml:space="preserve"> </w:t>
      </w:r>
      <w:r w:rsidRPr="00C27C79">
        <w:t>defence</w:t>
      </w:r>
      <w:r w:rsidRPr="00C27C79">
        <w:rPr>
          <w:spacing w:val="-2"/>
        </w:rPr>
        <w:t xml:space="preserve"> </w:t>
      </w:r>
      <w:r w:rsidRPr="00C27C79">
        <w:t>lawyer,</w:t>
      </w:r>
      <w:r w:rsidRPr="00C27C79">
        <w:rPr>
          <w:spacing w:val="1"/>
        </w:rPr>
        <w:t xml:space="preserve"> </w:t>
      </w:r>
      <w:r w:rsidRPr="00C27C79">
        <w:t>and</w:t>
      </w:r>
      <w:r w:rsidRPr="00C27C79">
        <w:rPr>
          <w:spacing w:val="-1"/>
        </w:rPr>
        <w:t xml:space="preserve"> </w:t>
      </w:r>
      <w:r w:rsidRPr="00C27C79">
        <w:t>is termed a</w:t>
      </w:r>
      <w:r w:rsidRPr="00C27C79">
        <w:rPr>
          <w:spacing w:val="-3"/>
        </w:rPr>
        <w:t xml:space="preserve"> </w:t>
      </w:r>
      <w:r w:rsidRPr="00C27C79">
        <w:t>‘</w:t>
      </w:r>
      <w:r>
        <w:t>s</w:t>
      </w:r>
      <w:r w:rsidR="0084368E">
        <w:t>ection</w:t>
      </w:r>
      <w:r>
        <w:t xml:space="preserve"> 20BQ application’.</w:t>
      </w:r>
      <w:r>
        <w:rPr>
          <w:spacing w:val="-1"/>
        </w:rPr>
        <w:t xml:space="preserve"> </w:t>
      </w:r>
      <w:r>
        <w:t>However,</w:t>
      </w:r>
      <w:r>
        <w:rPr>
          <w:spacing w:val="-1"/>
        </w:rPr>
        <w:t xml:space="preserve"> </w:t>
      </w:r>
      <w:r>
        <w:t>the</w:t>
      </w:r>
      <w:r>
        <w:rPr>
          <w:spacing w:val="-5"/>
        </w:rPr>
        <w:t xml:space="preserve"> </w:t>
      </w:r>
      <w:r>
        <w:t>issue</w:t>
      </w:r>
      <w:r>
        <w:rPr>
          <w:spacing w:val="-2"/>
        </w:rPr>
        <w:t xml:space="preserve"> </w:t>
      </w:r>
      <w:r>
        <w:t>may also</w:t>
      </w:r>
      <w:r>
        <w:rPr>
          <w:spacing w:val="-2"/>
        </w:rPr>
        <w:t xml:space="preserve"> </w:t>
      </w:r>
      <w:r>
        <w:t>be raised</w:t>
      </w:r>
      <w:r>
        <w:rPr>
          <w:spacing w:val="-1"/>
        </w:rPr>
        <w:t xml:space="preserve"> </w:t>
      </w:r>
      <w:r>
        <w:t>by</w:t>
      </w:r>
      <w:r>
        <w:rPr>
          <w:spacing w:val="-4"/>
        </w:rPr>
        <w:t xml:space="preserve"> </w:t>
      </w:r>
      <w:r>
        <w:t>the</w:t>
      </w:r>
      <w:r>
        <w:rPr>
          <w:spacing w:val="-2"/>
        </w:rPr>
        <w:t xml:space="preserve"> </w:t>
      </w:r>
      <w:r>
        <w:t>Prosecution</w:t>
      </w:r>
      <w:r>
        <w:rPr>
          <w:spacing w:val="-4"/>
        </w:rPr>
        <w:t xml:space="preserve"> </w:t>
      </w:r>
      <w:r>
        <w:t>or</w:t>
      </w:r>
      <w:r>
        <w:rPr>
          <w:spacing w:val="-1"/>
        </w:rPr>
        <w:t xml:space="preserve"> </w:t>
      </w:r>
      <w:r>
        <w:t>by</w:t>
      </w:r>
      <w:r>
        <w:rPr>
          <w:spacing w:val="-4"/>
        </w:rPr>
        <w:t xml:space="preserve"> </w:t>
      </w:r>
      <w:r>
        <w:t>the</w:t>
      </w:r>
      <w:r>
        <w:rPr>
          <w:spacing w:val="-2"/>
        </w:rPr>
        <w:t xml:space="preserve"> </w:t>
      </w:r>
      <w:r>
        <w:t>Court.</w:t>
      </w:r>
      <w:r>
        <w:rPr>
          <w:spacing w:val="-1"/>
        </w:rPr>
        <w:t xml:space="preserve"> Paragraph 7.1 of t</w:t>
      </w:r>
      <w:r>
        <w:t>he</w:t>
      </w:r>
      <w:r>
        <w:rPr>
          <w:spacing w:val="-3"/>
        </w:rPr>
        <w:t xml:space="preserve"> </w:t>
      </w:r>
      <w:r>
        <w:t xml:space="preserve">Prosecution Policy provides that </w:t>
      </w:r>
      <w:r w:rsidR="006019B4">
        <w:t>’</w:t>
      </w:r>
      <w:r>
        <w:t xml:space="preserve">in the unusual circumstances where there is an obvious fitness </w:t>
      </w:r>
      <w:r>
        <w:rPr>
          <w:spacing w:val="-47"/>
        </w:rPr>
        <w:t xml:space="preserve"> </w:t>
      </w:r>
      <w:proofErr w:type="gramStart"/>
      <w:r>
        <w:t>issue</w:t>
      </w:r>
      <w:proofErr w:type="gramEnd"/>
      <w:r>
        <w:t xml:space="preserve"> and</w:t>
      </w:r>
      <w:r>
        <w:rPr>
          <w:spacing w:val="-1"/>
        </w:rPr>
        <w:t xml:space="preserve"> </w:t>
      </w:r>
      <w:r>
        <w:t>it</w:t>
      </w:r>
      <w:r>
        <w:rPr>
          <w:spacing w:val="1"/>
        </w:rPr>
        <w:t xml:space="preserve"> </w:t>
      </w:r>
      <w:r>
        <w:t>is</w:t>
      </w:r>
      <w:r>
        <w:rPr>
          <w:spacing w:val="-4"/>
        </w:rPr>
        <w:t xml:space="preserve"> </w:t>
      </w:r>
      <w:r>
        <w:t>not</w:t>
      </w:r>
      <w:r>
        <w:rPr>
          <w:spacing w:val="-2"/>
        </w:rPr>
        <w:t xml:space="preserve"> </w:t>
      </w:r>
      <w:r>
        <w:t>raised by</w:t>
      </w:r>
      <w:r>
        <w:rPr>
          <w:spacing w:val="-2"/>
        </w:rPr>
        <w:t xml:space="preserve"> </w:t>
      </w:r>
      <w:r>
        <w:t>the defence</w:t>
      </w:r>
      <w:r>
        <w:rPr>
          <w:spacing w:val="-2"/>
        </w:rPr>
        <w:t xml:space="preserve"> </w:t>
      </w:r>
      <w:r>
        <w:t>then it</w:t>
      </w:r>
      <w:r>
        <w:rPr>
          <w:spacing w:val="-3"/>
        </w:rPr>
        <w:t xml:space="preserve"> </w:t>
      </w:r>
      <w:r>
        <w:t>should</w:t>
      </w:r>
      <w:r>
        <w:rPr>
          <w:spacing w:val="-4"/>
        </w:rPr>
        <w:t xml:space="preserve"> </w:t>
      </w:r>
      <w:r>
        <w:t>be</w:t>
      </w:r>
      <w:r>
        <w:rPr>
          <w:spacing w:val="1"/>
        </w:rPr>
        <w:t xml:space="preserve"> </w:t>
      </w:r>
      <w:r>
        <w:t>raised by</w:t>
      </w:r>
      <w:r>
        <w:rPr>
          <w:spacing w:val="-1"/>
        </w:rPr>
        <w:t xml:space="preserve"> </w:t>
      </w:r>
      <w:r>
        <w:t>the</w:t>
      </w:r>
      <w:r>
        <w:rPr>
          <w:spacing w:val="-2"/>
        </w:rPr>
        <w:t xml:space="preserve"> </w:t>
      </w:r>
      <w:r>
        <w:t>prosecution.</w:t>
      </w:r>
      <w:r w:rsidR="006019B4">
        <w:t>’</w:t>
      </w:r>
    </w:p>
    <w:p w14:paraId="08F5E6F2" w14:textId="78E5AFBB" w:rsidR="009F40F1" w:rsidRDefault="009F40F1" w:rsidP="009F40F1">
      <w:pPr>
        <w:pStyle w:val="NumberedParagraph"/>
      </w:pPr>
      <w:r w:rsidRPr="00644EDC">
        <w:t xml:space="preserve">All </w:t>
      </w:r>
      <w:r>
        <w:t>s</w:t>
      </w:r>
      <w:r w:rsidR="006019B4">
        <w:t>ection</w:t>
      </w:r>
      <w:r>
        <w:t xml:space="preserve"> 20BQ</w:t>
      </w:r>
      <w:r w:rsidRPr="00644EDC">
        <w:t xml:space="preserve"> applications must be discussed with the relevant Prosecution Team Leader (Decision Making</w:t>
      </w:r>
      <w:r w:rsidRPr="00644EDC">
        <w:rPr>
          <w:spacing w:val="-47"/>
        </w:rPr>
        <w:t xml:space="preserve"> </w:t>
      </w:r>
      <w:r>
        <w:t xml:space="preserve"> M</w:t>
      </w:r>
      <w:r w:rsidRPr="00644EDC">
        <w:t>atrix</w:t>
      </w:r>
      <w:r w:rsidRPr="00644EDC">
        <w:rPr>
          <w:spacing w:val="-3"/>
        </w:rPr>
        <w:t xml:space="preserve"> </w:t>
      </w:r>
      <w:r w:rsidRPr="00644EDC">
        <w:t>Decision</w:t>
      </w:r>
      <w:r w:rsidRPr="00644EDC">
        <w:rPr>
          <w:spacing w:val="-1"/>
        </w:rPr>
        <w:t xml:space="preserve"> </w:t>
      </w:r>
      <w:r w:rsidRPr="00644EDC">
        <w:t>2.25).</w:t>
      </w:r>
    </w:p>
    <w:p w14:paraId="5CA982B1" w14:textId="3F6A0B35" w:rsidR="009F40F1" w:rsidRDefault="009F40F1" w:rsidP="009F40F1">
      <w:pPr>
        <w:pStyle w:val="NumberedParagraph"/>
      </w:pPr>
      <w:r w:rsidRPr="00644EDC">
        <w:t>It</w:t>
      </w:r>
      <w:r w:rsidRPr="00644EDC">
        <w:rPr>
          <w:spacing w:val="-1"/>
        </w:rPr>
        <w:t xml:space="preserve"> </w:t>
      </w:r>
      <w:r w:rsidRPr="00644EDC">
        <w:t>is</w:t>
      </w:r>
      <w:r w:rsidRPr="00644EDC">
        <w:rPr>
          <w:spacing w:val="-1"/>
        </w:rPr>
        <w:t xml:space="preserve"> </w:t>
      </w:r>
      <w:r w:rsidRPr="00644EDC">
        <w:t>important</w:t>
      </w:r>
      <w:r w:rsidRPr="00644EDC">
        <w:rPr>
          <w:spacing w:val="-1"/>
        </w:rPr>
        <w:t xml:space="preserve"> </w:t>
      </w:r>
      <w:r w:rsidRPr="00644EDC">
        <w:t>to note</w:t>
      </w:r>
      <w:r w:rsidRPr="00644EDC">
        <w:rPr>
          <w:spacing w:val="-2"/>
        </w:rPr>
        <w:t xml:space="preserve"> </w:t>
      </w:r>
      <w:r w:rsidRPr="00644EDC">
        <w:t>that</w:t>
      </w:r>
      <w:r w:rsidRPr="00644EDC">
        <w:rPr>
          <w:spacing w:val="-3"/>
        </w:rPr>
        <w:t xml:space="preserve"> </w:t>
      </w:r>
      <w:r w:rsidRPr="00644EDC">
        <w:t>the</w:t>
      </w:r>
      <w:r w:rsidRPr="00644EDC">
        <w:rPr>
          <w:spacing w:val="-1"/>
        </w:rPr>
        <w:t xml:space="preserve"> </w:t>
      </w:r>
      <w:r w:rsidRPr="00644EDC">
        <w:t>procedure</w:t>
      </w:r>
      <w:r w:rsidRPr="00644EDC">
        <w:rPr>
          <w:spacing w:val="-1"/>
        </w:rPr>
        <w:t xml:space="preserve"> </w:t>
      </w:r>
      <w:r w:rsidRPr="00644EDC">
        <w:t>provided</w:t>
      </w:r>
      <w:r w:rsidRPr="00644EDC">
        <w:rPr>
          <w:spacing w:val="-1"/>
        </w:rPr>
        <w:t xml:space="preserve"> </w:t>
      </w:r>
      <w:r w:rsidRPr="00644EDC">
        <w:t>by</w:t>
      </w:r>
      <w:r w:rsidRPr="00644EDC">
        <w:rPr>
          <w:spacing w:val="-2"/>
        </w:rPr>
        <w:t xml:space="preserve"> </w:t>
      </w:r>
      <w:r>
        <w:t>s</w:t>
      </w:r>
      <w:r w:rsidR="006019B4">
        <w:t>ection</w:t>
      </w:r>
      <w:r>
        <w:t xml:space="preserve"> 20BQ</w:t>
      </w:r>
      <w:r w:rsidRPr="00644EDC">
        <w:rPr>
          <w:spacing w:val="-1"/>
        </w:rPr>
        <w:t xml:space="preserve"> </w:t>
      </w:r>
      <w:r w:rsidRPr="00644EDC">
        <w:t>is</w:t>
      </w:r>
      <w:r w:rsidRPr="00644EDC">
        <w:rPr>
          <w:spacing w:val="-3"/>
        </w:rPr>
        <w:t xml:space="preserve"> </w:t>
      </w:r>
      <w:r w:rsidRPr="00644EDC">
        <w:t>concerned</w:t>
      </w:r>
      <w:r w:rsidRPr="00644EDC">
        <w:rPr>
          <w:spacing w:val="-2"/>
        </w:rPr>
        <w:t xml:space="preserve"> </w:t>
      </w:r>
      <w:r w:rsidRPr="00644EDC">
        <w:t>solely</w:t>
      </w:r>
      <w:r w:rsidRPr="00644EDC">
        <w:rPr>
          <w:spacing w:val="-3"/>
        </w:rPr>
        <w:t xml:space="preserve"> </w:t>
      </w:r>
      <w:r w:rsidRPr="00644EDC">
        <w:t>with the</w:t>
      </w:r>
      <w:r w:rsidRPr="00644EDC">
        <w:rPr>
          <w:spacing w:val="-3"/>
        </w:rPr>
        <w:t xml:space="preserve"> </w:t>
      </w:r>
      <w:r w:rsidRPr="00644EDC">
        <w:t>person’s</w:t>
      </w:r>
      <w:r>
        <w:t xml:space="preserve"> mental</w:t>
      </w:r>
      <w:r>
        <w:rPr>
          <w:spacing w:val="-4"/>
        </w:rPr>
        <w:t xml:space="preserve"> </w:t>
      </w:r>
      <w:r>
        <w:t xml:space="preserve">condition </w:t>
      </w:r>
      <w:r>
        <w:rPr>
          <w:i/>
        </w:rPr>
        <w:t>at</w:t>
      </w:r>
      <w:r>
        <w:rPr>
          <w:i/>
          <w:spacing w:val="-3"/>
        </w:rPr>
        <w:t xml:space="preserve"> </w:t>
      </w:r>
      <w:r>
        <w:rPr>
          <w:i/>
        </w:rPr>
        <w:t>the</w:t>
      </w:r>
      <w:r>
        <w:rPr>
          <w:i/>
          <w:spacing w:val="-2"/>
        </w:rPr>
        <w:t xml:space="preserve"> </w:t>
      </w:r>
      <w:r>
        <w:rPr>
          <w:i/>
        </w:rPr>
        <w:t>time</w:t>
      </w:r>
      <w:r>
        <w:rPr>
          <w:i/>
          <w:spacing w:val="-1"/>
        </w:rPr>
        <w:t xml:space="preserve"> </w:t>
      </w:r>
      <w:r>
        <w:rPr>
          <w:i/>
        </w:rPr>
        <w:t>of</w:t>
      </w:r>
      <w:r>
        <w:rPr>
          <w:i/>
          <w:spacing w:val="1"/>
        </w:rPr>
        <w:t xml:space="preserve"> </w:t>
      </w:r>
      <w:r>
        <w:rPr>
          <w:i/>
        </w:rPr>
        <w:t>s</w:t>
      </w:r>
      <w:r w:rsidR="006019B4">
        <w:rPr>
          <w:i/>
        </w:rPr>
        <w:t>ection</w:t>
      </w:r>
      <w:r>
        <w:rPr>
          <w:i/>
        </w:rPr>
        <w:t xml:space="preserve"> 20BQ</w:t>
      </w:r>
      <w:r>
        <w:rPr>
          <w:i/>
          <w:spacing w:val="-4"/>
        </w:rPr>
        <w:t xml:space="preserve"> </w:t>
      </w:r>
      <w:r>
        <w:rPr>
          <w:i/>
        </w:rPr>
        <w:t>application</w:t>
      </w:r>
      <w:r>
        <w:t>, and</w:t>
      </w:r>
      <w:r>
        <w:rPr>
          <w:spacing w:val="-2"/>
        </w:rPr>
        <w:t xml:space="preserve"> </w:t>
      </w:r>
      <w:r>
        <w:t>is not</w:t>
      </w:r>
      <w:r>
        <w:rPr>
          <w:spacing w:val="-3"/>
        </w:rPr>
        <w:t xml:space="preserve"> </w:t>
      </w:r>
      <w:r>
        <w:t>directly concerned</w:t>
      </w:r>
      <w:r>
        <w:rPr>
          <w:spacing w:val="-4"/>
        </w:rPr>
        <w:t xml:space="preserve"> </w:t>
      </w:r>
      <w:r>
        <w:t>with the</w:t>
      </w:r>
      <w:r>
        <w:rPr>
          <w:spacing w:val="-3"/>
        </w:rPr>
        <w:t xml:space="preserve"> </w:t>
      </w:r>
      <w:r>
        <w:t>person’s mental state at the time of committing the offence.</w:t>
      </w:r>
      <w:r>
        <w:rPr>
          <w:spacing w:val="1"/>
        </w:rPr>
        <w:t xml:space="preserve"> </w:t>
      </w:r>
      <w:r>
        <w:t>However, the person’s mental state at the time of</w:t>
      </w:r>
      <w:r>
        <w:rPr>
          <w:spacing w:val="-47"/>
        </w:rPr>
        <w:t xml:space="preserve"> </w:t>
      </w:r>
      <w:r>
        <w:t>committing the offence may be relevant in determining whether it is appropriate to proceed under</w:t>
      </w:r>
      <w:r>
        <w:rPr>
          <w:spacing w:val="1"/>
        </w:rPr>
        <w:t xml:space="preserve"> </w:t>
      </w:r>
      <w:r>
        <w:t>s</w:t>
      </w:r>
      <w:r w:rsidR="006019B4">
        <w:t>ection</w:t>
      </w:r>
      <w:r>
        <w:t xml:space="preserve"> </w:t>
      </w:r>
      <w:r>
        <w:lastRenderedPageBreak/>
        <w:t>20BQ (see s</w:t>
      </w:r>
      <w:r w:rsidR="006019B4">
        <w:t>ection</w:t>
      </w:r>
      <w:r>
        <w:t xml:space="preserve"> 20BQ(1)(b)).</w:t>
      </w:r>
      <w:r>
        <w:rPr>
          <w:rStyle w:val="FootnoteReference"/>
        </w:rPr>
        <w:footnoteReference w:id="38"/>
      </w:r>
      <w:r>
        <w:t xml:space="preserve"> There may be a defence raised which was unknown at the time of</w:t>
      </w:r>
      <w:r>
        <w:rPr>
          <w:spacing w:val="1"/>
        </w:rPr>
        <w:t xml:space="preserve"> </w:t>
      </w:r>
      <w:r>
        <w:t xml:space="preserve">assessment of the brief or when the charge was laid (see </w:t>
      </w:r>
      <w:r w:rsidR="00B210B2">
        <w:rPr>
          <w:rFonts w:cs="Calibri"/>
        </w:rPr>
        <w:t xml:space="preserve">s </w:t>
      </w:r>
      <w:r w:rsidRPr="00B210B2">
        <w:rPr>
          <w:rFonts w:cs="Calibri"/>
        </w:rPr>
        <w:t xml:space="preserve">7.3 </w:t>
      </w:r>
      <w:r w:rsidR="00B210B2">
        <w:rPr>
          <w:rFonts w:cs="Calibri"/>
        </w:rPr>
        <w:t xml:space="preserve">of the </w:t>
      </w:r>
      <w:r w:rsidR="00B210B2">
        <w:rPr>
          <w:rFonts w:cs="Calibri"/>
          <w:i/>
          <w:iCs/>
        </w:rPr>
        <w:t xml:space="preserve">Criminal Code </w:t>
      </w:r>
      <w:r w:rsidR="00B210B2">
        <w:rPr>
          <w:rFonts w:cs="Calibri"/>
        </w:rPr>
        <w:t>(</w:t>
      </w:r>
      <w:proofErr w:type="spellStart"/>
      <w:r w:rsidR="00B210B2">
        <w:rPr>
          <w:rFonts w:cs="Calibri"/>
        </w:rPr>
        <w:t>Cth</w:t>
      </w:r>
      <w:proofErr w:type="spellEnd"/>
      <w:r w:rsidR="00B210B2">
        <w:rPr>
          <w:rFonts w:cs="Calibri"/>
        </w:rPr>
        <w:t xml:space="preserve">): </w:t>
      </w:r>
      <w:r w:rsidRPr="00B210B2">
        <w:rPr>
          <w:rFonts w:cs="Calibri"/>
        </w:rPr>
        <w:t>Mental Impairment</w:t>
      </w:r>
      <w:r>
        <w:t>).</w:t>
      </w:r>
    </w:p>
    <w:p w14:paraId="6E07A3A7" w14:textId="3882A452" w:rsidR="009F40F1" w:rsidRDefault="009F40F1" w:rsidP="009F40F1">
      <w:pPr>
        <w:pStyle w:val="NumberedParagraph"/>
      </w:pPr>
      <w:r w:rsidRPr="00644EDC">
        <w:t>Paragraph 7.1 of the Prosecution Policy provides that public interest considerations, including the</w:t>
      </w:r>
      <w:r w:rsidR="006019B4">
        <w:t xml:space="preserve"> </w:t>
      </w:r>
      <w:r w:rsidRPr="00644EDC">
        <w:rPr>
          <w:spacing w:val="-47"/>
        </w:rPr>
        <w:t xml:space="preserve"> </w:t>
      </w:r>
      <w:r w:rsidRPr="00644EDC">
        <w:t>mental</w:t>
      </w:r>
      <w:r w:rsidRPr="00644EDC">
        <w:rPr>
          <w:spacing w:val="-4"/>
        </w:rPr>
        <w:t xml:space="preserve"> </w:t>
      </w:r>
      <w:r w:rsidRPr="00644EDC">
        <w:t>health</w:t>
      </w:r>
      <w:r w:rsidRPr="00644EDC">
        <w:rPr>
          <w:spacing w:val="-3"/>
        </w:rPr>
        <w:t xml:space="preserve"> </w:t>
      </w:r>
      <w:r w:rsidRPr="00644EDC">
        <w:t>of an</w:t>
      </w:r>
      <w:r w:rsidRPr="00644EDC">
        <w:rPr>
          <w:spacing w:val="-3"/>
        </w:rPr>
        <w:t xml:space="preserve"> </w:t>
      </w:r>
      <w:r w:rsidRPr="00644EDC">
        <w:t>offender, can</w:t>
      </w:r>
      <w:r w:rsidRPr="00644EDC">
        <w:rPr>
          <w:spacing w:val="-4"/>
        </w:rPr>
        <w:t xml:space="preserve"> </w:t>
      </w:r>
      <w:r w:rsidRPr="00644EDC">
        <w:t>arise</w:t>
      </w:r>
      <w:r w:rsidRPr="00644EDC">
        <w:rPr>
          <w:spacing w:val="-3"/>
        </w:rPr>
        <w:t xml:space="preserve"> </w:t>
      </w:r>
      <w:r w:rsidRPr="00644EDC">
        <w:t>at any point</w:t>
      </w:r>
      <w:r w:rsidRPr="00644EDC">
        <w:rPr>
          <w:spacing w:val="-2"/>
        </w:rPr>
        <w:t xml:space="preserve"> </w:t>
      </w:r>
      <w:r w:rsidRPr="00644EDC">
        <w:t>during</w:t>
      </w:r>
      <w:r w:rsidRPr="00644EDC">
        <w:rPr>
          <w:spacing w:val="-1"/>
        </w:rPr>
        <w:t xml:space="preserve"> </w:t>
      </w:r>
      <w:r w:rsidRPr="00644EDC">
        <w:t>a prosecution</w:t>
      </w:r>
      <w:r w:rsidRPr="00644EDC">
        <w:rPr>
          <w:spacing w:val="-1"/>
        </w:rPr>
        <w:t xml:space="preserve"> </w:t>
      </w:r>
      <w:r w:rsidRPr="00644EDC">
        <w:t>and</w:t>
      </w:r>
      <w:r w:rsidRPr="00644EDC">
        <w:rPr>
          <w:spacing w:val="-4"/>
        </w:rPr>
        <w:t xml:space="preserve"> </w:t>
      </w:r>
      <w:r w:rsidRPr="00644EDC">
        <w:t>that other relevant</w:t>
      </w:r>
      <w:r>
        <w:t xml:space="preserve"> considerations include the ‘seriousness or relative triviality of the alleged offence, the need for general</w:t>
      </w:r>
      <w:r w:rsidR="006019B4">
        <w:t xml:space="preserve"> </w:t>
      </w:r>
      <w:r>
        <w:rPr>
          <w:spacing w:val="-47"/>
        </w:rPr>
        <w:t xml:space="preserve"> </w:t>
      </w:r>
      <w:r>
        <w:t>and/or</w:t>
      </w:r>
      <w:r>
        <w:rPr>
          <w:spacing w:val="-1"/>
        </w:rPr>
        <w:t xml:space="preserve"> </w:t>
      </w:r>
      <w:r>
        <w:t>specific deterrence</w:t>
      </w:r>
      <w:r>
        <w:rPr>
          <w:spacing w:val="-3"/>
        </w:rPr>
        <w:t xml:space="preserve"> </w:t>
      </w:r>
      <w:r>
        <w:t>and</w:t>
      </w:r>
      <w:r>
        <w:rPr>
          <w:spacing w:val="-1"/>
        </w:rPr>
        <w:t xml:space="preserve"> </w:t>
      </w:r>
      <w:r>
        <w:t>whether</w:t>
      </w:r>
      <w:r>
        <w:rPr>
          <w:spacing w:val="-3"/>
        </w:rPr>
        <w:t xml:space="preserve"> </w:t>
      </w:r>
      <w:r>
        <w:t>the</w:t>
      </w:r>
      <w:r>
        <w:rPr>
          <w:spacing w:val="1"/>
        </w:rPr>
        <w:t xml:space="preserve"> </w:t>
      </w:r>
      <w:r>
        <w:t>alleged</w:t>
      </w:r>
      <w:r>
        <w:rPr>
          <w:spacing w:val="-4"/>
        </w:rPr>
        <w:t xml:space="preserve"> </w:t>
      </w:r>
      <w:r>
        <w:t>offence is</w:t>
      </w:r>
      <w:r>
        <w:rPr>
          <w:spacing w:val="-3"/>
        </w:rPr>
        <w:t xml:space="preserve"> </w:t>
      </w:r>
      <w:r>
        <w:t>of</w:t>
      </w:r>
      <w:r>
        <w:rPr>
          <w:spacing w:val="-3"/>
        </w:rPr>
        <w:t xml:space="preserve"> </w:t>
      </w:r>
      <w:r>
        <w:t>considerable public</w:t>
      </w:r>
      <w:r>
        <w:rPr>
          <w:spacing w:val="-1"/>
        </w:rPr>
        <w:t xml:space="preserve"> </w:t>
      </w:r>
      <w:r>
        <w:t>concern’.</w:t>
      </w:r>
    </w:p>
    <w:p w14:paraId="361E3854" w14:textId="28E5C46F" w:rsidR="009F40F1" w:rsidRDefault="009F40F1" w:rsidP="009F40F1">
      <w:pPr>
        <w:pStyle w:val="NumberedParagraph"/>
      </w:pPr>
      <w:r w:rsidRPr="00644EDC">
        <w:t xml:space="preserve">Where a </w:t>
      </w:r>
      <w:r>
        <w:t>s</w:t>
      </w:r>
      <w:r w:rsidR="006019B4">
        <w:t>ection</w:t>
      </w:r>
      <w:r>
        <w:t xml:space="preserve"> 20BQ</w:t>
      </w:r>
      <w:r w:rsidRPr="00644EDC">
        <w:t xml:space="preserve"> application is made by the person, that person will usually provide material in support</w:t>
      </w:r>
      <w:r w:rsidRPr="00644EDC">
        <w:rPr>
          <w:spacing w:val="1"/>
        </w:rPr>
        <w:t xml:space="preserve"> </w:t>
      </w:r>
      <w:r w:rsidRPr="00644EDC">
        <w:t>of the application, such as medical or psychiatric reports. The Prosecution must consider whether the</w:t>
      </w:r>
      <w:r w:rsidRPr="00644EDC">
        <w:rPr>
          <w:spacing w:val="1"/>
        </w:rPr>
        <w:t xml:space="preserve"> </w:t>
      </w:r>
      <w:r w:rsidRPr="00644EDC">
        <w:t>application is supported or opposed, whether there is a need for expert evidence</w:t>
      </w:r>
      <w:r w:rsidR="006019B4">
        <w:t xml:space="preserve"> to be obtained,</w:t>
      </w:r>
      <w:r>
        <w:rPr>
          <w:rStyle w:val="FootnoteReference"/>
        </w:rPr>
        <w:footnoteReference w:id="39"/>
      </w:r>
      <w:r w:rsidRPr="00644EDC">
        <w:t xml:space="preserve"> or</w:t>
      </w:r>
      <w:r w:rsidRPr="00644EDC">
        <w:rPr>
          <w:spacing w:val="1"/>
        </w:rPr>
        <w:t xml:space="preserve"> </w:t>
      </w:r>
      <w:r w:rsidRPr="00644EDC">
        <w:t>any need for cross-examination of defence experts, and whether it is appropriate for the Prosecution to</w:t>
      </w:r>
      <w:r w:rsidRPr="00644EDC">
        <w:rPr>
          <w:spacing w:val="-47"/>
        </w:rPr>
        <w:t xml:space="preserve"> </w:t>
      </w:r>
      <w:r>
        <w:t xml:space="preserve"> m</w:t>
      </w:r>
      <w:r w:rsidRPr="00644EDC">
        <w:t>ake submissions</w:t>
      </w:r>
      <w:r w:rsidRPr="00644EDC">
        <w:rPr>
          <w:spacing w:val="-3"/>
        </w:rPr>
        <w:t xml:space="preserve"> </w:t>
      </w:r>
      <w:r w:rsidR="006019B4">
        <w:t>for</w:t>
      </w:r>
      <w:r w:rsidRPr="00644EDC">
        <w:rPr>
          <w:spacing w:val="-1"/>
        </w:rPr>
        <w:t xml:space="preserve"> </w:t>
      </w:r>
      <w:r w:rsidRPr="00644EDC">
        <w:t>the</w:t>
      </w:r>
      <w:r w:rsidRPr="00644EDC">
        <w:rPr>
          <w:spacing w:val="-4"/>
        </w:rPr>
        <w:t xml:space="preserve"> </w:t>
      </w:r>
      <w:proofErr w:type="gramStart"/>
      <w:r w:rsidRPr="00644EDC">
        <w:t>particular</w:t>
      </w:r>
      <w:r w:rsidRPr="00644EDC">
        <w:rPr>
          <w:spacing w:val="-1"/>
        </w:rPr>
        <w:t xml:space="preserve"> </w:t>
      </w:r>
      <w:r w:rsidRPr="00644EDC">
        <w:t>court</w:t>
      </w:r>
      <w:proofErr w:type="gramEnd"/>
      <w:r w:rsidRPr="00644EDC">
        <w:rPr>
          <w:spacing w:val="-3"/>
        </w:rPr>
        <w:t xml:space="preserve"> </w:t>
      </w:r>
      <w:r w:rsidRPr="00644EDC">
        <w:t>order</w:t>
      </w:r>
      <w:r w:rsidRPr="00644EDC">
        <w:rPr>
          <w:spacing w:val="-2"/>
        </w:rPr>
        <w:t xml:space="preserve"> </w:t>
      </w:r>
      <w:r w:rsidRPr="00644EDC">
        <w:t>to</w:t>
      </w:r>
      <w:r w:rsidRPr="00644EDC">
        <w:rPr>
          <w:spacing w:val="-2"/>
        </w:rPr>
        <w:t xml:space="preserve"> </w:t>
      </w:r>
      <w:r w:rsidRPr="00644EDC">
        <w:t>be</w:t>
      </w:r>
      <w:r w:rsidRPr="00644EDC">
        <w:rPr>
          <w:spacing w:val="1"/>
        </w:rPr>
        <w:t xml:space="preserve"> </w:t>
      </w:r>
      <w:r w:rsidRPr="00644EDC">
        <w:t xml:space="preserve">made under </w:t>
      </w:r>
      <w:r>
        <w:t>s</w:t>
      </w:r>
      <w:r w:rsidR="006019B4">
        <w:t>ection</w:t>
      </w:r>
      <w:r>
        <w:t xml:space="preserve"> 20BQ</w:t>
      </w:r>
      <w:r w:rsidRPr="00644EDC">
        <w:t>(1)(c)-(d).</w:t>
      </w:r>
    </w:p>
    <w:p w14:paraId="4063AF54" w14:textId="4DFBBC0F" w:rsidR="009F40F1" w:rsidRDefault="009F40F1" w:rsidP="009F40F1">
      <w:pPr>
        <w:pStyle w:val="NumberedParagraph"/>
      </w:pPr>
      <w:r w:rsidRPr="004D528A">
        <w:t>Section</w:t>
      </w:r>
      <w:r w:rsidRPr="004D528A">
        <w:rPr>
          <w:spacing w:val="-4"/>
        </w:rPr>
        <w:t xml:space="preserve"> </w:t>
      </w:r>
      <w:r w:rsidRPr="004D528A">
        <w:t>20BQ</w:t>
      </w:r>
      <w:r w:rsidRPr="004D528A">
        <w:rPr>
          <w:spacing w:val="-3"/>
        </w:rPr>
        <w:t xml:space="preserve"> </w:t>
      </w:r>
      <w:r w:rsidRPr="004D528A">
        <w:t>operates</w:t>
      </w:r>
      <w:r w:rsidRPr="004D528A">
        <w:rPr>
          <w:spacing w:val="-1"/>
        </w:rPr>
        <w:t xml:space="preserve"> </w:t>
      </w:r>
      <w:r w:rsidRPr="004D528A">
        <w:t>in</w:t>
      </w:r>
      <w:r w:rsidRPr="004D528A">
        <w:rPr>
          <w:spacing w:val="-4"/>
        </w:rPr>
        <w:t xml:space="preserve"> </w:t>
      </w:r>
      <w:r w:rsidRPr="004D528A">
        <w:t>circumstances</w:t>
      </w:r>
      <w:r w:rsidRPr="004D528A">
        <w:rPr>
          <w:spacing w:val="-2"/>
        </w:rPr>
        <w:t xml:space="preserve"> </w:t>
      </w:r>
      <w:r w:rsidRPr="004D528A">
        <w:t>where</w:t>
      </w:r>
      <w:r w:rsidRPr="004D528A">
        <w:rPr>
          <w:spacing w:val="45"/>
        </w:rPr>
        <w:t xml:space="preserve"> </w:t>
      </w:r>
      <w:r w:rsidR="006019B4">
        <w:t>‘</w:t>
      </w:r>
      <w:r w:rsidRPr="004D528A">
        <w:t>it</w:t>
      </w:r>
      <w:r w:rsidRPr="004D528A">
        <w:rPr>
          <w:spacing w:val="-1"/>
        </w:rPr>
        <w:t xml:space="preserve"> </w:t>
      </w:r>
      <w:r w:rsidRPr="004D528A">
        <w:t>appears</w:t>
      </w:r>
      <w:r w:rsidRPr="004D528A">
        <w:rPr>
          <w:spacing w:val="-1"/>
        </w:rPr>
        <w:t xml:space="preserve"> </w:t>
      </w:r>
      <w:r w:rsidRPr="004D528A">
        <w:t>to the court</w:t>
      </w:r>
      <w:r w:rsidR="006019B4">
        <w:t>’</w:t>
      </w:r>
      <w:r w:rsidRPr="004D528A">
        <w:t>:</w:t>
      </w:r>
    </w:p>
    <w:p w14:paraId="4B4A07ED" w14:textId="77777777" w:rsidR="009F40F1" w:rsidRPr="004D528A" w:rsidRDefault="009F40F1" w:rsidP="009F40F1">
      <w:pPr>
        <w:pStyle w:val="Tab1"/>
      </w:pPr>
      <w:r>
        <w:t xml:space="preserve">Step 1: </w:t>
      </w:r>
      <w:r w:rsidRPr="004D528A">
        <w:t>that the person is suffering from a mental illness or an intellectual disability within the meaning</w:t>
      </w:r>
      <w:r w:rsidRPr="004703D9">
        <w:rPr>
          <w:spacing w:val="-47"/>
        </w:rPr>
        <w:t xml:space="preserve"> </w:t>
      </w:r>
      <w:r w:rsidRPr="004D528A">
        <w:t>of the</w:t>
      </w:r>
      <w:r w:rsidRPr="004703D9">
        <w:rPr>
          <w:spacing w:val="-2"/>
        </w:rPr>
        <w:t xml:space="preserve"> </w:t>
      </w:r>
      <w:r w:rsidRPr="004D528A">
        <w:t>civil</w:t>
      </w:r>
      <w:r w:rsidRPr="004703D9">
        <w:rPr>
          <w:spacing w:val="-1"/>
        </w:rPr>
        <w:t xml:space="preserve"> </w:t>
      </w:r>
      <w:r w:rsidRPr="004D528A">
        <w:t>law</w:t>
      </w:r>
      <w:r w:rsidRPr="004703D9">
        <w:rPr>
          <w:spacing w:val="-2"/>
        </w:rPr>
        <w:t xml:space="preserve"> </w:t>
      </w:r>
      <w:r w:rsidRPr="004D528A">
        <w:t>of</w:t>
      </w:r>
      <w:r w:rsidRPr="004703D9">
        <w:rPr>
          <w:spacing w:val="-2"/>
        </w:rPr>
        <w:t xml:space="preserve"> </w:t>
      </w:r>
      <w:r w:rsidRPr="004D528A">
        <w:t>the</w:t>
      </w:r>
      <w:r w:rsidRPr="004703D9">
        <w:rPr>
          <w:spacing w:val="2"/>
        </w:rPr>
        <w:t xml:space="preserve"> </w:t>
      </w:r>
      <w:r w:rsidRPr="004D528A">
        <w:t>State</w:t>
      </w:r>
      <w:r w:rsidRPr="004703D9">
        <w:rPr>
          <w:spacing w:val="-2"/>
        </w:rPr>
        <w:t xml:space="preserve"> </w:t>
      </w:r>
      <w:r w:rsidRPr="004D528A">
        <w:t>or Territory,</w:t>
      </w:r>
      <w:r w:rsidRPr="004703D9">
        <w:rPr>
          <w:spacing w:val="-1"/>
        </w:rPr>
        <w:t xml:space="preserve"> </w:t>
      </w:r>
      <w:r w:rsidRPr="004D528A">
        <w:t>and</w:t>
      </w:r>
    </w:p>
    <w:p w14:paraId="721EE3D7" w14:textId="595C44FA" w:rsidR="009F40F1" w:rsidRPr="004D528A" w:rsidRDefault="009F40F1" w:rsidP="009F40F1">
      <w:pPr>
        <w:pStyle w:val="Tab1"/>
      </w:pPr>
      <w:r>
        <w:t xml:space="preserve">Step 2: </w:t>
      </w:r>
      <w:r w:rsidRPr="004D528A">
        <w:t>on an outline of the facts alleged or on relevant other evidence, it is more appropriate to deal</w:t>
      </w:r>
      <w:r w:rsidRPr="004D528A">
        <w:rPr>
          <w:spacing w:val="-47"/>
        </w:rPr>
        <w:t xml:space="preserve"> </w:t>
      </w:r>
      <w:r w:rsidRPr="004D528A">
        <w:t>with</w:t>
      </w:r>
      <w:r w:rsidRPr="004D528A">
        <w:rPr>
          <w:spacing w:val="-1"/>
        </w:rPr>
        <w:t xml:space="preserve"> </w:t>
      </w:r>
      <w:r w:rsidRPr="004D528A">
        <w:t>the</w:t>
      </w:r>
      <w:r w:rsidRPr="004D528A">
        <w:rPr>
          <w:spacing w:val="-2"/>
        </w:rPr>
        <w:t xml:space="preserve"> </w:t>
      </w:r>
      <w:r w:rsidRPr="004D528A">
        <w:t>person</w:t>
      </w:r>
      <w:r w:rsidRPr="004D528A">
        <w:rPr>
          <w:spacing w:val="-1"/>
        </w:rPr>
        <w:t xml:space="preserve"> </w:t>
      </w:r>
      <w:r w:rsidRPr="004D528A">
        <w:t>under</w:t>
      </w:r>
      <w:r w:rsidRPr="004D528A">
        <w:rPr>
          <w:spacing w:val="1"/>
        </w:rPr>
        <w:t xml:space="preserve"> </w:t>
      </w:r>
      <w:r>
        <w:t>s</w:t>
      </w:r>
      <w:r w:rsidR="006019B4">
        <w:t>ection</w:t>
      </w:r>
      <w:r>
        <w:t xml:space="preserve"> 20BQ</w:t>
      </w:r>
      <w:r w:rsidRPr="004D528A">
        <w:rPr>
          <w:spacing w:val="1"/>
        </w:rPr>
        <w:t xml:space="preserve"> </w:t>
      </w:r>
      <w:r w:rsidRPr="004D528A">
        <w:t>than</w:t>
      </w:r>
      <w:r w:rsidRPr="004D528A">
        <w:rPr>
          <w:spacing w:val="-3"/>
        </w:rPr>
        <w:t xml:space="preserve"> </w:t>
      </w:r>
      <w:r w:rsidRPr="004D528A">
        <w:t>otherwise</w:t>
      </w:r>
      <w:r w:rsidRPr="004D528A">
        <w:rPr>
          <w:spacing w:val="-2"/>
        </w:rPr>
        <w:t xml:space="preserve"> </w:t>
      </w:r>
      <w:r w:rsidRPr="004D528A">
        <w:t>in accordance</w:t>
      </w:r>
      <w:r w:rsidRPr="004D528A">
        <w:rPr>
          <w:spacing w:val="1"/>
        </w:rPr>
        <w:t xml:space="preserve"> </w:t>
      </w:r>
      <w:r w:rsidRPr="004D528A">
        <w:t>with law.</w:t>
      </w:r>
    </w:p>
    <w:p w14:paraId="41511BA1" w14:textId="77777777" w:rsidR="009F40F1" w:rsidRDefault="009F40F1" w:rsidP="009F40F1">
      <w:pPr>
        <w:pStyle w:val="NumberedParagraph"/>
      </w:pPr>
      <w:r>
        <w:t xml:space="preserve">State or Territory legislation defines ‘mental </w:t>
      </w:r>
      <w:proofErr w:type="gramStart"/>
      <w:r>
        <w:t>illness’</w:t>
      </w:r>
      <w:proofErr w:type="gramEnd"/>
      <w:r>
        <w:t xml:space="preserve"> and some jurisdictions may also define ‘intellectual</w:t>
      </w:r>
      <w:r>
        <w:rPr>
          <w:spacing w:val="-47"/>
        </w:rPr>
        <w:t xml:space="preserve"> </w:t>
      </w:r>
      <w:r>
        <w:t>disability’.</w:t>
      </w:r>
      <w:r>
        <w:rPr>
          <w:spacing w:val="-1"/>
        </w:rPr>
        <w:t xml:space="preserve"> Prosecutors should r</w:t>
      </w:r>
      <w:r>
        <w:t>efer to</w:t>
      </w:r>
      <w:r>
        <w:rPr>
          <w:spacing w:val="-1"/>
        </w:rPr>
        <w:t xml:space="preserve"> </w:t>
      </w:r>
      <w:r>
        <w:t>the</w:t>
      </w:r>
      <w:r>
        <w:rPr>
          <w:spacing w:val="-1"/>
        </w:rPr>
        <w:t xml:space="preserve"> </w:t>
      </w:r>
      <w:r>
        <w:t>relevant</w:t>
      </w:r>
      <w:r>
        <w:rPr>
          <w:spacing w:val="-2"/>
        </w:rPr>
        <w:t xml:space="preserve"> </w:t>
      </w:r>
      <w:r>
        <w:t>mental</w:t>
      </w:r>
      <w:r>
        <w:rPr>
          <w:spacing w:val="-3"/>
        </w:rPr>
        <w:t xml:space="preserve"> </w:t>
      </w:r>
      <w:r>
        <w:t>health</w:t>
      </w:r>
      <w:r>
        <w:rPr>
          <w:spacing w:val="-1"/>
        </w:rPr>
        <w:t xml:space="preserve"> </w:t>
      </w:r>
      <w:r>
        <w:t>legislation</w:t>
      </w:r>
      <w:r>
        <w:rPr>
          <w:spacing w:val="-1"/>
        </w:rPr>
        <w:t xml:space="preserve"> </w:t>
      </w:r>
      <w:r>
        <w:t>in their</w:t>
      </w:r>
      <w:r>
        <w:rPr>
          <w:spacing w:val="-1"/>
        </w:rPr>
        <w:t xml:space="preserve"> </w:t>
      </w:r>
      <w:r>
        <w:t>jurisdiction.</w:t>
      </w:r>
      <w:r>
        <w:rPr>
          <w:rStyle w:val="FootnoteReference"/>
        </w:rPr>
        <w:footnoteReference w:id="40"/>
      </w:r>
    </w:p>
    <w:p w14:paraId="5F9DB7F1" w14:textId="26FCA035" w:rsidR="009F40F1" w:rsidRDefault="009F40F1" w:rsidP="009F40F1">
      <w:pPr>
        <w:pStyle w:val="NumberedParagraph"/>
      </w:pPr>
      <w:r w:rsidRPr="004D528A">
        <w:t xml:space="preserve">For step </w:t>
      </w:r>
      <w:r w:rsidR="006019B4">
        <w:t>2</w:t>
      </w:r>
      <w:r w:rsidRPr="004D528A">
        <w:t xml:space="preserve"> above, it is prudent to provide the Court with a copy of the </w:t>
      </w:r>
      <w:r w:rsidR="006019B4">
        <w:t>S</w:t>
      </w:r>
      <w:r w:rsidRPr="004D528A">
        <w:t xml:space="preserve">tatement of </w:t>
      </w:r>
      <w:r w:rsidR="006019B4">
        <w:t>F</w:t>
      </w:r>
      <w:r w:rsidRPr="004D528A">
        <w:t>acts for the</w:t>
      </w:r>
      <w:r w:rsidRPr="004D528A">
        <w:rPr>
          <w:spacing w:val="1"/>
        </w:rPr>
        <w:t xml:space="preserve"> </w:t>
      </w:r>
      <w:r w:rsidRPr="004D528A">
        <w:t xml:space="preserve">offending, and for the Prosecution to make oral (or in complex matters, written) submissions </w:t>
      </w:r>
      <w:r w:rsidR="006019B4">
        <w:t xml:space="preserve">regarding the </w:t>
      </w:r>
      <w:r w:rsidRPr="004D528A">
        <w:t>application.</w:t>
      </w:r>
      <w:r w:rsidRPr="004D528A">
        <w:rPr>
          <w:spacing w:val="-2"/>
        </w:rPr>
        <w:t xml:space="preserve"> </w:t>
      </w:r>
      <w:r w:rsidRPr="004D528A">
        <w:t>Section</w:t>
      </w:r>
      <w:r w:rsidRPr="004D528A">
        <w:rPr>
          <w:spacing w:val="-4"/>
        </w:rPr>
        <w:t xml:space="preserve"> </w:t>
      </w:r>
      <w:r w:rsidRPr="004D528A">
        <w:t xml:space="preserve">20BR </w:t>
      </w:r>
      <w:r w:rsidR="006019B4">
        <w:t xml:space="preserve">of the </w:t>
      </w:r>
      <w:r w:rsidR="0026548A" w:rsidRPr="0026548A">
        <w:rPr>
          <w:i/>
        </w:rPr>
        <w:t>Crimes Act</w:t>
      </w:r>
      <w:r w:rsidRPr="004D528A">
        <w:rPr>
          <w:i/>
        </w:rPr>
        <w:t xml:space="preserve"> </w:t>
      </w:r>
      <w:r w:rsidRPr="004D528A">
        <w:t>provides</w:t>
      </w:r>
      <w:r w:rsidRPr="004D528A">
        <w:rPr>
          <w:spacing w:val="-3"/>
        </w:rPr>
        <w:t xml:space="preserve"> </w:t>
      </w:r>
      <w:r w:rsidRPr="004D528A">
        <w:t>that</w:t>
      </w:r>
      <w:r w:rsidRPr="004D528A">
        <w:rPr>
          <w:spacing w:val="-1"/>
        </w:rPr>
        <w:t xml:space="preserve"> </w:t>
      </w:r>
      <w:r w:rsidRPr="004D528A">
        <w:t>the</w:t>
      </w:r>
      <w:r w:rsidRPr="004D528A">
        <w:rPr>
          <w:spacing w:val="-1"/>
        </w:rPr>
        <w:t xml:space="preserve"> </w:t>
      </w:r>
      <w:r w:rsidRPr="004D528A">
        <w:t>Court</w:t>
      </w:r>
      <w:r w:rsidRPr="004D528A">
        <w:rPr>
          <w:spacing w:val="-3"/>
        </w:rPr>
        <w:t xml:space="preserve"> </w:t>
      </w:r>
      <w:r w:rsidR="006019B4">
        <w:t>‘</w:t>
      </w:r>
      <w:r w:rsidRPr="004D528A">
        <w:t>can</w:t>
      </w:r>
      <w:r w:rsidRPr="004D528A">
        <w:rPr>
          <w:spacing w:val="-2"/>
        </w:rPr>
        <w:t xml:space="preserve"> </w:t>
      </w:r>
      <w:r w:rsidRPr="004D528A">
        <w:t>inform itself</w:t>
      </w:r>
      <w:r w:rsidRPr="004D528A">
        <w:rPr>
          <w:spacing w:val="-1"/>
        </w:rPr>
        <w:t xml:space="preserve"> </w:t>
      </w:r>
      <w:r w:rsidRPr="004D528A">
        <w:t>as</w:t>
      </w:r>
      <w:r w:rsidRPr="004D528A">
        <w:rPr>
          <w:spacing w:val="-1"/>
        </w:rPr>
        <w:t xml:space="preserve"> </w:t>
      </w:r>
      <w:r w:rsidRPr="004D528A">
        <w:t>it</w:t>
      </w:r>
      <w:r w:rsidRPr="004D528A">
        <w:rPr>
          <w:spacing w:val="-3"/>
        </w:rPr>
        <w:t xml:space="preserve"> </w:t>
      </w:r>
      <w:r w:rsidRPr="004D528A">
        <w:t>thinks fit</w:t>
      </w:r>
      <w:r w:rsidR="006019B4">
        <w:t>’</w:t>
      </w:r>
      <w:r w:rsidRPr="004D528A">
        <w:t>.</w:t>
      </w:r>
      <w:r w:rsidRPr="004D528A">
        <w:rPr>
          <w:spacing w:val="-2"/>
        </w:rPr>
        <w:t xml:space="preserve"> </w:t>
      </w:r>
      <w:r w:rsidRPr="004D528A">
        <w:t>The</w:t>
      </w:r>
      <w:r>
        <w:t xml:space="preserve"> Court may consider any of the factors in s</w:t>
      </w:r>
      <w:r w:rsidR="006019B4">
        <w:t>ection</w:t>
      </w:r>
      <w:r>
        <w:t xml:space="preserve"> 16A of the </w:t>
      </w:r>
      <w:r w:rsidR="0026548A" w:rsidRPr="0026548A">
        <w:rPr>
          <w:i/>
        </w:rPr>
        <w:t>Crimes Act</w:t>
      </w:r>
      <w:r>
        <w:rPr>
          <w:i/>
        </w:rPr>
        <w:t xml:space="preserve"> </w:t>
      </w:r>
      <w:r>
        <w:t>during step 2.</w:t>
      </w:r>
      <w:r>
        <w:rPr>
          <w:rStyle w:val="FootnoteReference"/>
        </w:rPr>
        <w:footnoteReference w:id="41"/>
      </w:r>
      <w:r w:rsidR="006019B4">
        <w:t xml:space="preserve"> </w:t>
      </w:r>
      <w:r>
        <w:t>The Court may</w:t>
      </w:r>
      <w:r>
        <w:rPr>
          <w:spacing w:val="1"/>
        </w:rPr>
        <w:t xml:space="preserve"> </w:t>
      </w:r>
      <w:r>
        <w:t>also consider factors such as whether the person understood the nature and quality of their actions and</w:t>
      </w:r>
      <w:r w:rsidR="006019B4">
        <w:t xml:space="preserve"> </w:t>
      </w:r>
      <w:r>
        <w:rPr>
          <w:spacing w:val="-47"/>
        </w:rPr>
        <w:t xml:space="preserve"> </w:t>
      </w:r>
      <w:r>
        <w:t>their wrongfulness at the time of the offence, the likely outcome of the proceedings for the person, the</w:t>
      </w:r>
      <w:r>
        <w:rPr>
          <w:spacing w:val="1"/>
        </w:rPr>
        <w:t xml:space="preserve"> </w:t>
      </w:r>
      <w:r>
        <w:t>person’s prior criminal history or good character, and whether rehabilitative or punitive objects of</w:t>
      </w:r>
      <w:r>
        <w:rPr>
          <w:spacing w:val="1"/>
        </w:rPr>
        <w:t xml:space="preserve"> </w:t>
      </w:r>
      <w:r>
        <w:t>sentencing</w:t>
      </w:r>
      <w:r>
        <w:rPr>
          <w:spacing w:val="-4"/>
        </w:rPr>
        <w:t xml:space="preserve"> </w:t>
      </w:r>
      <w:r>
        <w:t>would</w:t>
      </w:r>
      <w:r>
        <w:rPr>
          <w:spacing w:val="-1"/>
        </w:rPr>
        <w:t xml:space="preserve"> </w:t>
      </w:r>
      <w:r>
        <w:t>be</w:t>
      </w:r>
      <w:r>
        <w:rPr>
          <w:spacing w:val="-3"/>
        </w:rPr>
        <w:t xml:space="preserve"> </w:t>
      </w:r>
      <w:r>
        <w:t>met by the</w:t>
      </w:r>
      <w:r>
        <w:rPr>
          <w:spacing w:val="-2"/>
        </w:rPr>
        <w:t xml:space="preserve"> </w:t>
      </w:r>
      <w:r>
        <w:t>imposition</w:t>
      </w:r>
      <w:r>
        <w:rPr>
          <w:spacing w:val="-3"/>
        </w:rPr>
        <w:t xml:space="preserve"> </w:t>
      </w:r>
      <w:r>
        <w:t>of</w:t>
      </w:r>
      <w:r>
        <w:rPr>
          <w:spacing w:val="-1"/>
        </w:rPr>
        <w:t xml:space="preserve"> </w:t>
      </w:r>
      <w:r>
        <w:t>a custodial</w:t>
      </w:r>
      <w:r>
        <w:rPr>
          <w:spacing w:val="-1"/>
        </w:rPr>
        <w:t xml:space="preserve"> </w:t>
      </w:r>
      <w:r>
        <w:t>sentence.</w:t>
      </w:r>
      <w:r>
        <w:rPr>
          <w:rStyle w:val="FootnoteReference"/>
        </w:rPr>
        <w:footnoteReference w:id="42"/>
      </w:r>
    </w:p>
    <w:p w14:paraId="40A68B31" w14:textId="477929E9" w:rsidR="009F40F1" w:rsidRDefault="009F40F1" w:rsidP="009F40F1">
      <w:pPr>
        <w:pStyle w:val="NumberedParagraph"/>
      </w:pPr>
      <w:r w:rsidRPr="00043134">
        <w:t xml:space="preserve">If the Court decides that it is </w:t>
      </w:r>
      <w:r w:rsidRPr="00043134">
        <w:rPr>
          <w:u w:val="single" w:color="404040"/>
        </w:rPr>
        <w:t>not</w:t>
      </w:r>
      <w:r w:rsidRPr="00043134">
        <w:t xml:space="preserve"> appropriate to deal with the person under </w:t>
      </w:r>
      <w:r>
        <w:t>s</w:t>
      </w:r>
      <w:r w:rsidR="006019B4">
        <w:t>ection</w:t>
      </w:r>
      <w:r>
        <w:t xml:space="preserve"> 20BQ</w:t>
      </w:r>
      <w:r w:rsidRPr="00043134">
        <w:t>, then the person</w:t>
      </w:r>
      <w:r w:rsidRPr="00043134">
        <w:rPr>
          <w:spacing w:val="1"/>
        </w:rPr>
        <w:t xml:space="preserve"> </w:t>
      </w:r>
      <w:r w:rsidRPr="00043134">
        <w:t xml:space="preserve">must be dealt with ‘in accordance with law’, namely, the matter will </w:t>
      </w:r>
      <w:r>
        <w:t xml:space="preserve">generally </w:t>
      </w:r>
      <w:r w:rsidRPr="00043134">
        <w:t>proceed to guilty plea or summary</w:t>
      </w:r>
      <w:r w:rsidR="006019B4">
        <w:t xml:space="preserve"> </w:t>
      </w:r>
      <w:r w:rsidRPr="00043134">
        <w:rPr>
          <w:spacing w:val="-47"/>
        </w:rPr>
        <w:t xml:space="preserve"> </w:t>
      </w:r>
      <w:r w:rsidRPr="00043134">
        <w:t>contested</w:t>
      </w:r>
      <w:r w:rsidRPr="00043134">
        <w:rPr>
          <w:spacing w:val="-2"/>
        </w:rPr>
        <w:t xml:space="preserve"> </w:t>
      </w:r>
      <w:r w:rsidRPr="00043134">
        <w:t>hearing</w:t>
      </w:r>
      <w:r w:rsidRPr="00043134">
        <w:rPr>
          <w:spacing w:val="-1"/>
        </w:rPr>
        <w:t xml:space="preserve"> </w:t>
      </w:r>
      <w:r w:rsidRPr="00043134">
        <w:t>per the</w:t>
      </w:r>
      <w:r w:rsidRPr="00043134">
        <w:rPr>
          <w:spacing w:val="-2"/>
        </w:rPr>
        <w:t xml:space="preserve"> </w:t>
      </w:r>
      <w:r w:rsidRPr="00043134">
        <w:t>usual procedure.</w:t>
      </w:r>
      <w:r>
        <w:t xml:space="preserve"> However, whether being dealt with ‘in accordance with law’ then means State and Territory regimes dealing with ‘fitness’ are also picked up is discussed further below (at [48]).</w:t>
      </w:r>
    </w:p>
    <w:p w14:paraId="5036AD31" w14:textId="7415D59F" w:rsidR="009F40F1" w:rsidRDefault="009F40F1" w:rsidP="009F40F1">
      <w:pPr>
        <w:pStyle w:val="NumberedParagraph"/>
      </w:pPr>
      <w:r w:rsidRPr="00043134">
        <w:lastRenderedPageBreak/>
        <w:t xml:space="preserve">Where a </w:t>
      </w:r>
      <w:r>
        <w:t>s</w:t>
      </w:r>
      <w:r w:rsidR="006019B4">
        <w:t>ection</w:t>
      </w:r>
      <w:r>
        <w:t xml:space="preserve"> 20BQ</w:t>
      </w:r>
      <w:r w:rsidRPr="00043134">
        <w:t xml:space="preserve"> application is raised by a person without prior notice to the Prosecution, it is usually</w:t>
      </w:r>
      <w:r w:rsidRPr="00043134">
        <w:rPr>
          <w:spacing w:val="1"/>
        </w:rPr>
        <w:t xml:space="preserve"> </w:t>
      </w:r>
      <w:r w:rsidRPr="00043134">
        <w:t>appropriate to seek an adjournment of the matter. If the charges against a person are particularly</w:t>
      </w:r>
      <w:r w:rsidRPr="00043134">
        <w:rPr>
          <w:spacing w:val="1"/>
        </w:rPr>
        <w:t xml:space="preserve"> </w:t>
      </w:r>
      <w:r w:rsidRPr="00043134">
        <w:t xml:space="preserve">serious, it may remain in the public interest to argue against proceeding under </w:t>
      </w:r>
      <w:r>
        <w:t>s</w:t>
      </w:r>
      <w:r w:rsidR="006019B4">
        <w:t>ection</w:t>
      </w:r>
      <w:r>
        <w:t xml:space="preserve"> 20BQ</w:t>
      </w:r>
      <w:r w:rsidRPr="00043134">
        <w:t>, even if there is</w:t>
      </w:r>
      <w:r w:rsidRPr="00043134">
        <w:rPr>
          <w:spacing w:val="-47"/>
        </w:rPr>
        <w:t xml:space="preserve"> </w:t>
      </w:r>
      <w:r>
        <w:t xml:space="preserve"> e</w:t>
      </w:r>
      <w:r w:rsidRPr="00043134">
        <w:t>vidence</w:t>
      </w:r>
      <w:r w:rsidRPr="00043134">
        <w:rPr>
          <w:spacing w:val="-3"/>
        </w:rPr>
        <w:t xml:space="preserve"> </w:t>
      </w:r>
      <w:r w:rsidRPr="00043134">
        <w:t>of a</w:t>
      </w:r>
      <w:r w:rsidRPr="00043134">
        <w:rPr>
          <w:spacing w:val="-2"/>
        </w:rPr>
        <w:t xml:space="preserve"> </w:t>
      </w:r>
      <w:r w:rsidRPr="00043134">
        <w:t>mental illness or intellectual</w:t>
      </w:r>
      <w:r w:rsidRPr="00043134">
        <w:rPr>
          <w:spacing w:val="-1"/>
        </w:rPr>
        <w:t xml:space="preserve"> </w:t>
      </w:r>
      <w:r w:rsidRPr="00043134">
        <w:t>disability.</w:t>
      </w:r>
    </w:p>
    <w:p w14:paraId="5C9F1B33" w14:textId="0639C965" w:rsidR="009F40F1" w:rsidRDefault="009F40F1" w:rsidP="009F40F1">
      <w:pPr>
        <w:pStyle w:val="NumberedParagraph"/>
      </w:pPr>
      <w:r w:rsidRPr="00AC7089">
        <w:t xml:space="preserve">The New South Wales Court of Criminal Appeal decision in </w:t>
      </w:r>
      <w:r w:rsidRPr="00AC7089">
        <w:rPr>
          <w:i/>
          <w:iCs/>
        </w:rPr>
        <w:t>Kelly v Saadat-Talab</w:t>
      </w:r>
      <w:r w:rsidRPr="00AC7089">
        <w:t xml:space="preserve"> provides that s</w:t>
      </w:r>
      <w:r w:rsidR="006019B4">
        <w:t>ection</w:t>
      </w:r>
      <w:r>
        <w:t xml:space="preserve"> </w:t>
      </w:r>
      <w:r w:rsidRPr="00AC7089">
        <w:t>20BQ covers the field for Commonwealth offences in relation to the diversion of persons charged with offences in the summary jurisdiction.</w:t>
      </w:r>
      <w:r w:rsidR="006019B4">
        <w:rPr>
          <w:rStyle w:val="FootnoteReference"/>
        </w:rPr>
        <w:footnoteReference w:id="43"/>
      </w:r>
      <w:r w:rsidRPr="00AC7089">
        <w:t xml:space="preserve"> It therefore operates to the exclusion of any State or Territory provisions that contain </w:t>
      </w:r>
      <w:r w:rsidRPr="002D5A11">
        <w:rPr>
          <w:i/>
          <w:iCs/>
        </w:rPr>
        <w:t xml:space="preserve">diversionary </w:t>
      </w:r>
      <w:r w:rsidRPr="00AC7089">
        <w:t xml:space="preserve">measures in respect of mentally ill or intellectually disabled persons. </w:t>
      </w:r>
    </w:p>
    <w:p w14:paraId="5EE34AAB" w14:textId="4A6B8918" w:rsidR="009F40F1" w:rsidRDefault="009F40F1" w:rsidP="009F40F1">
      <w:pPr>
        <w:pStyle w:val="NumberedParagraph"/>
      </w:pPr>
      <w:r>
        <w:t xml:space="preserve">While open to doubt, </w:t>
      </w:r>
      <w:bookmarkStart w:id="29" w:name="_Hlk147926506"/>
      <w:r>
        <w:t>the CDPP’s view is that s</w:t>
      </w:r>
      <w:r w:rsidR="00105953">
        <w:t>ection</w:t>
      </w:r>
      <w:r>
        <w:t xml:space="preserve"> 20BQ does not similarly render</w:t>
      </w:r>
      <w:r w:rsidRPr="00210167">
        <w:t xml:space="preserve"> </w:t>
      </w:r>
      <w:r>
        <w:t xml:space="preserve">State/Territory laws inapplicable as surrogate federal law where those laws provide for </w:t>
      </w:r>
      <w:r w:rsidR="004D3A5D">
        <w:t>defendants</w:t>
      </w:r>
      <w:r>
        <w:t xml:space="preserve"> to be found </w:t>
      </w:r>
      <w:r w:rsidRPr="002D5A11">
        <w:rPr>
          <w:i/>
          <w:iCs/>
        </w:rPr>
        <w:t>unfit</w:t>
      </w:r>
      <w:r>
        <w:t xml:space="preserve"> to plead or unfit to be tried in </w:t>
      </w:r>
      <w:r w:rsidRPr="002D5A11">
        <w:rPr>
          <w:i/>
          <w:iCs/>
        </w:rPr>
        <w:t>summary</w:t>
      </w:r>
      <w:r>
        <w:t xml:space="preserve"> proceedings.</w:t>
      </w:r>
      <w:r>
        <w:rPr>
          <w:rStyle w:val="FootnoteReference"/>
        </w:rPr>
        <w:footnoteReference w:id="44"/>
      </w:r>
      <w:r>
        <w:t xml:space="preserve"> </w:t>
      </w:r>
      <w:bookmarkEnd w:id="29"/>
      <w:r>
        <w:t>In those circumstances, a defendant may attempt to rely upon both s</w:t>
      </w:r>
      <w:r w:rsidR="006019B4">
        <w:t>ection</w:t>
      </w:r>
      <w:r>
        <w:t xml:space="preserve"> 20BQ and the applicable State/Territory law as separate applications.</w:t>
      </w:r>
    </w:p>
    <w:p w14:paraId="50B4657A" w14:textId="71EFDAB7" w:rsidR="009F40F1" w:rsidRPr="00AC7089" w:rsidRDefault="009F40F1" w:rsidP="009F40F1">
      <w:pPr>
        <w:pStyle w:val="NumberedParagraph"/>
      </w:pPr>
      <w:r>
        <w:t xml:space="preserve">Further, </w:t>
      </w:r>
      <w:r w:rsidRPr="00AC7089">
        <w:t xml:space="preserve">the </w:t>
      </w:r>
      <w:r w:rsidR="0026548A" w:rsidRPr="0026548A">
        <w:rPr>
          <w:i/>
          <w:iCs/>
        </w:rPr>
        <w:t>Crimes Act</w:t>
      </w:r>
      <w:r w:rsidRPr="00AC7089">
        <w:rPr>
          <w:i/>
          <w:iCs/>
        </w:rPr>
        <w:t xml:space="preserve"> </w:t>
      </w:r>
      <w:r w:rsidRPr="00AC7089">
        <w:t xml:space="preserve">does not make provision for </w:t>
      </w:r>
      <w:r w:rsidRPr="00AC7089">
        <w:rPr>
          <w:i/>
          <w:iCs/>
        </w:rPr>
        <w:t xml:space="preserve">the manner in which </w:t>
      </w:r>
      <w:r w:rsidRPr="00AC7089">
        <w:t xml:space="preserve">the issue of whether a person is suffering from a mental </w:t>
      </w:r>
      <w:proofErr w:type="gramStart"/>
      <w:r w:rsidRPr="00AC7089">
        <w:t>illness</w:t>
      </w:r>
      <w:proofErr w:type="gramEnd"/>
      <w:r w:rsidRPr="00AC7089">
        <w:t xml:space="preserve"> or an intellectual disability is to be determined and no </w:t>
      </w:r>
      <w:r w:rsidRPr="00AC7089">
        <w:rPr>
          <w:i/>
          <w:iCs/>
        </w:rPr>
        <w:t xml:space="preserve">procedure </w:t>
      </w:r>
      <w:r w:rsidRPr="00AC7089">
        <w:t xml:space="preserve">or </w:t>
      </w:r>
      <w:r w:rsidRPr="00AC7089">
        <w:rPr>
          <w:i/>
          <w:iCs/>
        </w:rPr>
        <w:t xml:space="preserve">process </w:t>
      </w:r>
      <w:r w:rsidRPr="00AC7089">
        <w:t xml:space="preserve">is set out for determining this. Therefore, pursuant to </w:t>
      </w:r>
      <w:r>
        <w:t>s</w:t>
      </w:r>
      <w:r w:rsidR="00105953">
        <w:t>ection</w:t>
      </w:r>
      <w:r w:rsidRPr="00AC7089">
        <w:t>s 68</w:t>
      </w:r>
      <w:r>
        <w:t>(1)</w:t>
      </w:r>
      <w:r w:rsidRPr="00AC7089">
        <w:t xml:space="preserve"> and 79 of the </w:t>
      </w:r>
      <w:r w:rsidRPr="00AC7089">
        <w:rPr>
          <w:i/>
          <w:iCs/>
        </w:rPr>
        <w:t xml:space="preserve">Judiciary Act, </w:t>
      </w:r>
      <w:r w:rsidRPr="00AC7089">
        <w:t xml:space="preserve">State or Territory procedural laws which provide for the actual assessment of mentally ill or intellectually disabled persons are applicable. Such laws may provide, for example, provisions for Court-ordered reports, or provisions providing for the use of State or Territory Correctional services resources, may still be used in conjunction with </w:t>
      </w:r>
      <w:r>
        <w:t>s</w:t>
      </w:r>
      <w:r w:rsidR="00105953">
        <w:t>ection</w:t>
      </w:r>
      <w:r>
        <w:t xml:space="preserve"> 20BQ</w:t>
      </w:r>
      <w:r w:rsidRPr="00AC7089">
        <w:t>. The State and Territory procedures may also be relevant in circumstances where a Magistrate declines to exercise the discretion to divert the person under s</w:t>
      </w:r>
      <w:r w:rsidR="00105953">
        <w:t xml:space="preserve">ection </w:t>
      </w:r>
      <w:r w:rsidRPr="00AC7089">
        <w:t xml:space="preserve">20BQ, and fitness to plead remains an issue to be determined. </w:t>
      </w:r>
    </w:p>
    <w:p w14:paraId="5DD6EF82" w14:textId="6186AF4D" w:rsidR="009F40F1" w:rsidRPr="004D0132" w:rsidRDefault="009F40F1" w:rsidP="00E34801">
      <w:pPr>
        <w:pStyle w:val="Heading2"/>
      </w:pPr>
      <w:bookmarkStart w:id="30" w:name="_Toc147762847"/>
      <w:bookmarkStart w:id="31" w:name="_Toc147931082"/>
      <w:r w:rsidRPr="004D0132">
        <w:t>Orders the Court can make</w:t>
      </w:r>
      <w:bookmarkEnd w:id="30"/>
      <w:bookmarkEnd w:id="31"/>
    </w:p>
    <w:p w14:paraId="19AF424B" w14:textId="77777777" w:rsidR="009F40F1" w:rsidRDefault="009F40F1" w:rsidP="009F40F1">
      <w:pPr>
        <w:pStyle w:val="NumberedParagraph"/>
      </w:pPr>
      <w:r>
        <w:t>The Court may:</w:t>
      </w:r>
    </w:p>
    <w:p w14:paraId="738EF895" w14:textId="016F7D98" w:rsidR="009F40F1" w:rsidRPr="00A05924" w:rsidRDefault="009F40F1" w:rsidP="009F40F1">
      <w:pPr>
        <w:pStyle w:val="Tab1"/>
      </w:pPr>
      <w:r w:rsidRPr="00A05924">
        <w:t>dismiss the charge and discharge the person into the care of a responsible person,</w:t>
      </w:r>
      <w:r w:rsidR="00105953">
        <w:t xml:space="preserve"> unconditionally, or</w:t>
      </w:r>
      <w:r w:rsidRPr="00A05924">
        <w:t xml:space="preserve"> </w:t>
      </w:r>
      <w:r w:rsidR="00105953">
        <w:rPr>
          <w:spacing w:val="-1"/>
        </w:rPr>
        <w:t xml:space="preserve"> </w:t>
      </w:r>
      <w:r w:rsidRPr="00A05924">
        <w:t>subject to</w:t>
      </w:r>
      <w:r w:rsidRPr="004703D9">
        <w:rPr>
          <w:spacing w:val="-2"/>
        </w:rPr>
        <w:t xml:space="preserve"> </w:t>
      </w:r>
      <w:r w:rsidRPr="00A05924">
        <w:t>conditions, for</w:t>
      </w:r>
      <w:r w:rsidRPr="004703D9">
        <w:rPr>
          <w:spacing w:val="-1"/>
        </w:rPr>
        <w:t xml:space="preserve"> </w:t>
      </w:r>
      <w:r w:rsidRPr="00A05924">
        <w:t>a specified</w:t>
      </w:r>
      <w:r w:rsidRPr="004703D9">
        <w:rPr>
          <w:spacing w:val="-1"/>
        </w:rPr>
        <w:t xml:space="preserve"> </w:t>
      </w:r>
      <w:r w:rsidRPr="00A05924">
        <w:t>period</w:t>
      </w:r>
      <w:r w:rsidRPr="004703D9">
        <w:rPr>
          <w:spacing w:val="-1"/>
        </w:rPr>
        <w:t xml:space="preserve"> </w:t>
      </w:r>
      <w:r w:rsidRPr="00A05924">
        <w:t>that</w:t>
      </w:r>
      <w:r w:rsidRPr="004703D9">
        <w:rPr>
          <w:spacing w:val="-1"/>
        </w:rPr>
        <w:t xml:space="preserve"> </w:t>
      </w:r>
      <w:r w:rsidRPr="00A05924">
        <w:t>does</w:t>
      </w:r>
      <w:r w:rsidRPr="004703D9">
        <w:rPr>
          <w:spacing w:val="1"/>
        </w:rPr>
        <w:t xml:space="preserve"> </w:t>
      </w:r>
      <w:r w:rsidRPr="00A05924">
        <w:t>not</w:t>
      </w:r>
      <w:r w:rsidRPr="004703D9">
        <w:rPr>
          <w:spacing w:val="-1"/>
        </w:rPr>
        <w:t xml:space="preserve"> </w:t>
      </w:r>
      <w:r w:rsidRPr="00A05924">
        <w:t>exceed 3</w:t>
      </w:r>
      <w:r w:rsidRPr="004703D9">
        <w:rPr>
          <w:spacing w:val="-2"/>
        </w:rPr>
        <w:t xml:space="preserve"> </w:t>
      </w:r>
      <w:r w:rsidRPr="00A05924">
        <w:t>years;</w:t>
      </w:r>
      <w:r w:rsidRPr="004703D9">
        <w:rPr>
          <w:spacing w:val="-1"/>
        </w:rPr>
        <w:t xml:space="preserve"> </w:t>
      </w:r>
      <w:r w:rsidRPr="00A05924">
        <w:t>or</w:t>
      </w:r>
    </w:p>
    <w:p w14:paraId="4EE354F4" w14:textId="4D4EBBDE" w:rsidR="009F40F1" w:rsidRDefault="009F40F1" w:rsidP="009F40F1">
      <w:pPr>
        <w:pStyle w:val="Tab1"/>
      </w:pPr>
      <w:r w:rsidRPr="00A05924">
        <w:t>dismiss the charge and discharge the person on condition that the person attend on another</w:t>
      </w:r>
      <w:r w:rsidRPr="00A05924">
        <w:rPr>
          <w:spacing w:val="1"/>
        </w:rPr>
        <w:t xml:space="preserve"> </w:t>
      </w:r>
      <w:r w:rsidRPr="00A05924">
        <w:t>person, or at a place, specified by the court for an assessment of the first-mentioned person's</w:t>
      </w:r>
      <w:r w:rsidRPr="00A05924">
        <w:rPr>
          <w:spacing w:val="1"/>
        </w:rPr>
        <w:t xml:space="preserve"> </w:t>
      </w:r>
      <w:r w:rsidRPr="00A05924">
        <w:t>mental condition, or for treatment, or both, but so that the total period for which the person</w:t>
      </w:r>
      <w:r w:rsidR="00105953">
        <w:t xml:space="preserve"> is required</w:t>
      </w:r>
      <w:r w:rsidRPr="00A05924">
        <w:t xml:space="preserve"> to</w:t>
      </w:r>
      <w:r w:rsidRPr="00A05924">
        <w:rPr>
          <w:spacing w:val="1"/>
        </w:rPr>
        <w:t xml:space="preserve"> </w:t>
      </w:r>
      <w:r w:rsidRPr="00A05924">
        <w:t>attend</w:t>
      </w:r>
      <w:r w:rsidRPr="00A05924">
        <w:rPr>
          <w:spacing w:val="-1"/>
        </w:rPr>
        <w:t xml:space="preserve"> </w:t>
      </w:r>
      <w:r w:rsidRPr="00A05924">
        <w:t>on</w:t>
      </w:r>
      <w:r w:rsidRPr="00A05924">
        <w:rPr>
          <w:spacing w:val="-4"/>
        </w:rPr>
        <w:t xml:space="preserve"> </w:t>
      </w:r>
      <w:r w:rsidRPr="00A05924">
        <w:t>that</w:t>
      </w:r>
      <w:r w:rsidRPr="00A05924">
        <w:rPr>
          <w:spacing w:val="-2"/>
        </w:rPr>
        <w:t xml:space="preserve"> </w:t>
      </w:r>
      <w:r w:rsidRPr="00A05924">
        <w:t>other person</w:t>
      </w:r>
      <w:r w:rsidRPr="00A05924">
        <w:rPr>
          <w:spacing w:val="-1"/>
        </w:rPr>
        <w:t xml:space="preserve"> </w:t>
      </w:r>
      <w:r w:rsidRPr="00A05924">
        <w:t>or</w:t>
      </w:r>
      <w:r w:rsidRPr="00A05924">
        <w:rPr>
          <w:spacing w:val="-3"/>
        </w:rPr>
        <w:t xml:space="preserve"> </w:t>
      </w:r>
      <w:r w:rsidRPr="00A05924">
        <w:t>at</w:t>
      </w:r>
      <w:r w:rsidRPr="00A05924">
        <w:rPr>
          <w:spacing w:val="-2"/>
        </w:rPr>
        <w:t xml:space="preserve"> </w:t>
      </w:r>
      <w:r w:rsidRPr="00A05924">
        <w:t>that place does</w:t>
      </w:r>
      <w:r w:rsidRPr="00A05924">
        <w:rPr>
          <w:spacing w:val="1"/>
        </w:rPr>
        <w:t xml:space="preserve"> </w:t>
      </w:r>
      <w:r w:rsidRPr="00A05924">
        <w:t>not</w:t>
      </w:r>
      <w:r w:rsidRPr="00A05924">
        <w:rPr>
          <w:spacing w:val="-2"/>
        </w:rPr>
        <w:t xml:space="preserve"> </w:t>
      </w:r>
      <w:r w:rsidRPr="00A05924">
        <w:t>exceed</w:t>
      </w:r>
      <w:r w:rsidRPr="00A05924">
        <w:rPr>
          <w:spacing w:val="-3"/>
        </w:rPr>
        <w:t xml:space="preserve"> </w:t>
      </w:r>
      <w:r w:rsidRPr="00A05924">
        <w:t>3 years; or</w:t>
      </w:r>
    </w:p>
    <w:p w14:paraId="0594A2B4" w14:textId="29CA1661" w:rsidR="009F40F1" w:rsidRPr="00A05924" w:rsidRDefault="009F40F1" w:rsidP="009F40F1">
      <w:pPr>
        <w:pStyle w:val="Tab1"/>
      </w:pPr>
      <w:r w:rsidRPr="00A05924">
        <w:t>dismiss the charge and discharge the person unconditionally (note</w:t>
      </w:r>
      <w:r w:rsidR="00105953">
        <w:t>,</w:t>
      </w:r>
      <w:r w:rsidRPr="00A05924">
        <w:t xml:space="preserve"> this is the most lenient form of</w:t>
      </w:r>
      <w:r w:rsidRPr="00A05924">
        <w:rPr>
          <w:spacing w:val="-47"/>
        </w:rPr>
        <w:t xml:space="preserve"> </w:t>
      </w:r>
      <w:r w:rsidRPr="00A05924">
        <w:rPr>
          <w:spacing w:val="-1"/>
        </w:rPr>
        <w:t>order</w:t>
      </w:r>
      <w:r w:rsidRPr="00A05924">
        <w:t xml:space="preserve"> </w:t>
      </w:r>
      <w:r w:rsidRPr="00A05924">
        <w:rPr>
          <w:spacing w:val="-1"/>
        </w:rPr>
        <w:t>and results</w:t>
      </w:r>
      <w:r w:rsidRPr="00A05924">
        <w:t xml:space="preserve"> </w:t>
      </w:r>
      <w:r w:rsidRPr="00A05924">
        <w:rPr>
          <w:spacing w:val="-1"/>
        </w:rPr>
        <w:t xml:space="preserve">in </w:t>
      </w:r>
      <w:r w:rsidRPr="00A05924">
        <w:t>no</w:t>
      </w:r>
      <w:r w:rsidRPr="00A05924">
        <w:rPr>
          <w:spacing w:val="1"/>
        </w:rPr>
        <w:t xml:space="preserve"> </w:t>
      </w:r>
      <w:r w:rsidRPr="00A05924">
        <w:t>provision</w:t>
      </w:r>
      <w:r w:rsidRPr="00A05924">
        <w:rPr>
          <w:spacing w:val="-1"/>
        </w:rPr>
        <w:t xml:space="preserve"> </w:t>
      </w:r>
      <w:r w:rsidRPr="00A05924">
        <w:t>being</w:t>
      </w:r>
      <w:r w:rsidRPr="00A05924">
        <w:rPr>
          <w:spacing w:val="-1"/>
        </w:rPr>
        <w:t xml:space="preserve"> </w:t>
      </w:r>
      <w:r w:rsidRPr="00A05924">
        <w:t>made</w:t>
      </w:r>
      <w:r w:rsidRPr="00A05924">
        <w:rPr>
          <w:spacing w:val="1"/>
        </w:rPr>
        <w:t xml:space="preserve"> </w:t>
      </w:r>
      <w:r w:rsidRPr="00A05924">
        <w:t>for any</w:t>
      </w:r>
      <w:r w:rsidRPr="00A05924">
        <w:rPr>
          <w:spacing w:val="-3"/>
        </w:rPr>
        <w:t xml:space="preserve"> </w:t>
      </w:r>
      <w:r w:rsidRPr="00A05924">
        <w:t>future mental health</w:t>
      </w:r>
      <w:r w:rsidRPr="00A05924">
        <w:rPr>
          <w:spacing w:val="-1"/>
        </w:rPr>
        <w:t xml:space="preserve"> </w:t>
      </w:r>
      <w:r w:rsidRPr="00A05924">
        <w:t>treatment),</w:t>
      </w:r>
      <w:r>
        <w:rPr>
          <w:rStyle w:val="FootnoteReference"/>
          <w:rFonts w:cstheme="minorHAnsi"/>
          <w:color w:val="404040"/>
          <w:spacing w:val="-21"/>
        </w:rPr>
        <w:footnoteReference w:id="45"/>
      </w:r>
      <w:r w:rsidR="00105953">
        <w:rPr>
          <w:spacing w:val="-21"/>
        </w:rPr>
        <w:t xml:space="preserve"> or</w:t>
      </w:r>
    </w:p>
    <w:p w14:paraId="32329567" w14:textId="48C94ECB" w:rsidR="009F40F1" w:rsidRDefault="009F40F1" w:rsidP="009F40F1">
      <w:pPr>
        <w:pStyle w:val="Tab1"/>
      </w:pPr>
      <w:r w:rsidRPr="004703D9">
        <w:t>do one or more of the following</w:t>
      </w:r>
      <w:r w:rsidR="00105953">
        <w:t>:</w:t>
      </w:r>
    </w:p>
    <w:p w14:paraId="599A6B3B" w14:textId="6DE0AD7E" w:rsidR="009F40F1" w:rsidRDefault="009F40F1" w:rsidP="00BF0AD5">
      <w:pPr>
        <w:pStyle w:val="Tab2"/>
      </w:pPr>
      <w:r>
        <w:t>adjourn the proceedings</w:t>
      </w:r>
    </w:p>
    <w:p w14:paraId="141095F8" w14:textId="5F6C9C41" w:rsidR="009F40F1" w:rsidRDefault="009F40F1" w:rsidP="00BF0AD5">
      <w:pPr>
        <w:pStyle w:val="Tab2"/>
      </w:pPr>
      <w:r>
        <w:t>remand the person on bail</w:t>
      </w:r>
      <w:r w:rsidR="00105953">
        <w:t>;</w:t>
      </w:r>
      <w:r w:rsidR="00682A9B">
        <w:t xml:space="preserve"> or</w:t>
      </w:r>
    </w:p>
    <w:p w14:paraId="28595167" w14:textId="540CB99F" w:rsidR="009F40F1" w:rsidRPr="00A05924" w:rsidRDefault="009F40F1" w:rsidP="00BF0AD5">
      <w:pPr>
        <w:pStyle w:val="Tab2"/>
      </w:pPr>
      <w:r>
        <w:lastRenderedPageBreak/>
        <w:t>make any other order that the court considers appropriate</w:t>
      </w:r>
      <w:r w:rsidR="00105953">
        <w:t>.</w:t>
      </w:r>
    </w:p>
    <w:p w14:paraId="6593477B" w14:textId="77777777" w:rsidR="009F40F1" w:rsidRDefault="009F40F1" w:rsidP="009F40F1">
      <w:pPr>
        <w:pStyle w:val="NumberedParagraph"/>
      </w:pPr>
      <w:r>
        <w:t>There is no scope for a conviction to be imposed.</w:t>
      </w:r>
    </w:p>
    <w:p w14:paraId="5E2A358A" w14:textId="7625D52A" w:rsidR="009F40F1" w:rsidRDefault="009F40F1" w:rsidP="009F40F1">
      <w:pPr>
        <w:pStyle w:val="NumberedParagraph"/>
      </w:pPr>
      <w:r w:rsidRPr="00A05924">
        <w:t xml:space="preserve">An order under </w:t>
      </w:r>
      <w:r>
        <w:t>s</w:t>
      </w:r>
      <w:r w:rsidR="00682A9B">
        <w:t>ection</w:t>
      </w:r>
      <w:r>
        <w:t xml:space="preserve"> 20BQ</w:t>
      </w:r>
      <w:r w:rsidRPr="00A05924">
        <w:t>(1)(c) (dismissal of charge) acts as a stay against any future proceedings for the</w:t>
      </w:r>
      <w:r>
        <w:t xml:space="preserve"> </w:t>
      </w:r>
      <w:r w:rsidRPr="00A05924">
        <w:rPr>
          <w:spacing w:val="-47"/>
        </w:rPr>
        <w:t xml:space="preserve"> </w:t>
      </w:r>
      <w:r w:rsidRPr="00A05924">
        <w:t>given</w:t>
      </w:r>
      <w:r w:rsidRPr="00A05924">
        <w:rPr>
          <w:spacing w:val="-4"/>
        </w:rPr>
        <w:t xml:space="preserve"> </w:t>
      </w:r>
      <w:r w:rsidRPr="00A05924">
        <w:t>offending (</w:t>
      </w:r>
      <w:r>
        <w:t>s</w:t>
      </w:r>
      <w:r w:rsidR="00682A9B">
        <w:t>ection</w:t>
      </w:r>
      <w:r>
        <w:t xml:space="preserve"> 20BQ</w:t>
      </w:r>
      <w:r w:rsidRPr="00A05924">
        <w:t>(2)).</w:t>
      </w:r>
    </w:p>
    <w:p w14:paraId="4E4570F9" w14:textId="68B14DAF" w:rsidR="009F40F1" w:rsidRPr="004D0132" w:rsidRDefault="009F40F1" w:rsidP="00E34801">
      <w:pPr>
        <w:pStyle w:val="Heading2"/>
      </w:pPr>
      <w:bookmarkStart w:id="32" w:name="_Toc147762848"/>
      <w:bookmarkStart w:id="33" w:name="_Toc147931083"/>
      <w:r w:rsidRPr="004D0132">
        <w:t xml:space="preserve">The meaning of </w:t>
      </w:r>
      <w:r w:rsidR="00682A9B">
        <w:t>’</w:t>
      </w:r>
      <w:r w:rsidRPr="004D0132">
        <w:t>treatment</w:t>
      </w:r>
      <w:r w:rsidR="00682A9B">
        <w:t>’</w:t>
      </w:r>
      <w:r w:rsidRPr="004D0132">
        <w:t xml:space="preserve"> in </w:t>
      </w:r>
      <w:r>
        <w:t>s</w:t>
      </w:r>
      <w:r w:rsidR="00682A9B">
        <w:t>ection</w:t>
      </w:r>
      <w:r>
        <w:t xml:space="preserve"> 20BQ</w:t>
      </w:r>
      <w:r w:rsidRPr="004D0132">
        <w:t>(1)(c)(ii)</w:t>
      </w:r>
      <w:bookmarkEnd w:id="32"/>
      <w:bookmarkEnd w:id="33"/>
    </w:p>
    <w:p w14:paraId="590BEA68" w14:textId="79AA891D" w:rsidR="009F40F1" w:rsidRDefault="009F40F1" w:rsidP="009F40F1">
      <w:pPr>
        <w:pStyle w:val="NumberedParagraph"/>
      </w:pPr>
      <w:r w:rsidRPr="00B231BF">
        <w:t xml:space="preserve">‘Treatment’ is not defined in the </w:t>
      </w:r>
      <w:r w:rsidR="0026548A" w:rsidRPr="0026548A">
        <w:rPr>
          <w:i/>
        </w:rPr>
        <w:t>Crimes Act</w:t>
      </w:r>
      <w:r w:rsidRPr="00B231BF">
        <w:rPr>
          <w:i/>
        </w:rPr>
        <w:t xml:space="preserve"> </w:t>
      </w:r>
      <w:r w:rsidRPr="00B231BF">
        <w:t>and has not yet been subject to judicial consideration.</w:t>
      </w:r>
      <w:r w:rsidRPr="00B231BF">
        <w:rPr>
          <w:spacing w:val="1"/>
        </w:rPr>
        <w:t xml:space="preserve"> </w:t>
      </w:r>
      <w:r w:rsidRPr="00B231BF">
        <w:t xml:space="preserve">However, the use of the word in the context of </w:t>
      </w:r>
      <w:r>
        <w:t>s</w:t>
      </w:r>
      <w:r w:rsidR="00682A9B">
        <w:t>ection</w:t>
      </w:r>
      <w:r>
        <w:t xml:space="preserve"> 20BQ</w:t>
      </w:r>
      <w:r w:rsidRPr="00B231BF">
        <w:t xml:space="preserve">(1)(c)(ii), a provision which deals with mentally </w:t>
      </w:r>
      <w:r w:rsidR="00682A9B">
        <w:t xml:space="preserve">ill or </w:t>
      </w:r>
      <w:r w:rsidRPr="00B231BF">
        <w:t>intellectually disabled offenders and provides for assessment of those conditions, infers that the</w:t>
      </w:r>
      <w:r w:rsidRPr="00B231BF">
        <w:rPr>
          <w:spacing w:val="1"/>
        </w:rPr>
        <w:t xml:space="preserve"> </w:t>
      </w:r>
      <w:r w:rsidRPr="00B231BF">
        <w:t>treatment ordered must be treatment for the relevant mental illness or intellectual disability. Orders</w:t>
      </w:r>
      <w:r w:rsidRPr="00B231BF">
        <w:rPr>
          <w:spacing w:val="1"/>
        </w:rPr>
        <w:t xml:space="preserve"> </w:t>
      </w:r>
      <w:r w:rsidRPr="00B231BF">
        <w:t>that a person participate in an alcohol or drug treatment program are not within the scope of</w:t>
      </w:r>
      <w:r w:rsidRPr="00B231BF">
        <w:rPr>
          <w:spacing w:val="1"/>
        </w:rPr>
        <w:t xml:space="preserve"> </w:t>
      </w:r>
      <w:r>
        <w:t>s</w:t>
      </w:r>
      <w:r w:rsidR="00682A9B">
        <w:t>ection</w:t>
      </w:r>
      <w:r>
        <w:t xml:space="preserve"> 20BQ</w:t>
      </w:r>
      <w:r w:rsidRPr="00B231BF">
        <w:t>(1)(c)(ii). However, a Court can order a person to undergo alcohol or drug treatment under</w:t>
      </w:r>
      <w:r w:rsidRPr="00B231BF">
        <w:rPr>
          <w:spacing w:val="1"/>
        </w:rPr>
        <w:t xml:space="preserve"> </w:t>
      </w:r>
      <w:r>
        <w:t>s</w:t>
      </w:r>
      <w:r w:rsidR="00682A9B">
        <w:t>ection</w:t>
      </w:r>
      <w:r>
        <w:t xml:space="preserve"> 20BQ</w:t>
      </w:r>
      <w:r w:rsidRPr="00B231BF">
        <w:t>(1)(d)(iii)</w:t>
      </w:r>
      <w:r w:rsidRPr="00B231BF">
        <w:rPr>
          <w:spacing w:val="-3"/>
        </w:rPr>
        <w:t xml:space="preserve"> </w:t>
      </w:r>
      <w:r w:rsidRPr="00B231BF">
        <w:t>(</w:t>
      </w:r>
      <w:r w:rsidR="00682A9B">
        <w:t>’</w:t>
      </w:r>
      <w:r w:rsidRPr="00B231BF">
        <w:t>make</w:t>
      </w:r>
      <w:r w:rsidRPr="00B231BF">
        <w:rPr>
          <w:spacing w:val="1"/>
        </w:rPr>
        <w:t xml:space="preserve"> </w:t>
      </w:r>
      <w:r w:rsidRPr="00B231BF">
        <w:t>any</w:t>
      </w:r>
      <w:r w:rsidRPr="00B231BF">
        <w:rPr>
          <w:spacing w:val="-2"/>
        </w:rPr>
        <w:t xml:space="preserve"> </w:t>
      </w:r>
      <w:r w:rsidRPr="00B231BF">
        <w:t>other</w:t>
      </w:r>
      <w:r w:rsidRPr="00B231BF">
        <w:rPr>
          <w:spacing w:val="-4"/>
        </w:rPr>
        <w:t xml:space="preserve"> </w:t>
      </w:r>
      <w:r w:rsidRPr="00B231BF">
        <w:t>order that the</w:t>
      </w:r>
      <w:r w:rsidRPr="00B231BF">
        <w:rPr>
          <w:spacing w:val="-4"/>
        </w:rPr>
        <w:t xml:space="preserve"> </w:t>
      </w:r>
      <w:r w:rsidRPr="00B231BF">
        <w:t>court</w:t>
      </w:r>
      <w:r w:rsidRPr="00B231BF">
        <w:rPr>
          <w:spacing w:val="-2"/>
        </w:rPr>
        <w:t xml:space="preserve"> </w:t>
      </w:r>
      <w:r w:rsidRPr="00B231BF">
        <w:t>considers</w:t>
      </w:r>
      <w:r w:rsidRPr="00B231BF">
        <w:rPr>
          <w:spacing w:val="-2"/>
        </w:rPr>
        <w:t xml:space="preserve"> </w:t>
      </w:r>
      <w:r w:rsidRPr="00B231BF">
        <w:t>appropriate</w:t>
      </w:r>
      <w:r w:rsidR="00682A9B">
        <w:t>’</w:t>
      </w:r>
      <w:r w:rsidRPr="00B231BF">
        <w:t>).</w:t>
      </w:r>
    </w:p>
    <w:p w14:paraId="392C6B7A" w14:textId="61E9AA26" w:rsidR="009F40F1" w:rsidRPr="004D0132" w:rsidRDefault="009F40F1" w:rsidP="00E34801">
      <w:pPr>
        <w:pStyle w:val="Heading2"/>
      </w:pPr>
      <w:bookmarkStart w:id="34" w:name="_Toc147762849"/>
      <w:bookmarkStart w:id="35" w:name="_Toc147931084"/>
      <w:r w:rsidRPr="004D0132">
        <w:t>No breach action available for section 20BQ orders</w:t>
      </w:r>
      <w:bookmarkEnd w:id="34"/>
      <w:bookmarkEnd w:id="35"/>
    </w:p>
    <w:p w14:paraId="7823FD09" w14:textId="29C71F71" w:rsidR="009F40F1" w:rsidRDefault="009F40F1" w:rsidP="009F40F1">
      <w:pPr>
        <w:pStyle w:val="NumberedParagraph"/>
      </w:pPr>
      <w:r w:rsidRPr="00B231BF">
        <w:t>Section 20BQ orders under sections 20BQ(1)(c) and 20BQ(1)(d)(iii) are unenforceable. Therefore, if a</w:t>
      </w:r>
      <w:r w:rsidRPr="00B231BF">
        <w:rPr>
          <w:spacing w:val="1"/>
        </w:rPr>
        <w:t xml:space="preserve"> </w:t>
      </w:r>
      <w:r w:rsidRPr="00B231BF">
        <w:t>person fails to comply with orders made as to participating in care, assessment and treatment, the</w:t>
      </w:r>
      <w:r w:rsidRPr="00B231BF">
        <w:rPr>
          <w:spacing w:val="1"/>
        </w:rPr>
        <w:t xml:space="preserve"> </w:t>
      </w:r>
      <w:r w:rsidRPr="00B231BF">
        <w:t xml:space="preserve">Prosecution cannot initiate breach proceedings. This is because </w:t>
      </w:r>
      <w:r>
        <w:t>s</w:t>
      </w:r>
      <w:r w:rsidR="00682A9B">
        <w:t>ection</w:t>
      </w:r>
      <w:r>
        <w:t xml:space="preserve"> 20BQ</w:t>
      </w:r>
      <w:r w:rsidRPr="00B231BF">
        <w:t xml:space="preserve"> makes no provision for</w:t>
      </w:r>
      <w:r>
        <w:t xml:space="preserve"> </w:t>
      </w:r>
      <w:r w:rsidRPr="00B231BF">
        <w:t>breach of</w:t>
      </w:r>
      <w:r w:rsidR="00682A9B">
        <w:t xml:space="preserve"> </w:t>
      </w:r>
      <w:r w:rsidRPr="00B231BF">
        <w:rPr>
          <w:spacing w:val="-47"/>
        </w:rPr>
        <w:t xml:space="preserve"> </w:t>
      </w:r>
      <w:r w:rsidRPr="00B231BF">
        <w:t>such</w:t>
      </w:r>
      <w:r w:rsidRPr="00B231BF">
        <w:rPr>
          <w:spacing w:val="-2"/>
        </w:rPr>
        <w:t xml:space="preserve"> </w:t>
      </w:r>
      <w:r w:rsidRPr="00B231BF">
        <w:t>orders, and</w:t>
      </w:r>
      <w:r w:rsidRPr="00B231BF">
        <w:rPr>
          <w:spacing w:val="-1"/>
        </w:rPr>
        <w:t xml:space="preserve"> </w:t>
      </w:r>
      <w:r>
        <w:t>s</w:t>
      </w:r>
      <w:r w:rsidR="00682A9B">
        <w:t>ection</w:t>
      </w:r>
      <w:r>
        <w:t xml:space="preserve"> 2</w:t>
      </w:r>
      <w:r w:rsidRPr="00B231BF">
        <w:t>0A breach</w:t>
      </w:r>
      <w:r w:rsidRPr="00B231BF">
        <w:rPr>
          <w:spacing w:val="-1"/>
        </w:rPr>
        <w:t xml:space="preserve"> </w:t>
      </w:r>
      <w:r w:rsidRPr="00B231BF">
        <w:t>action</w:t>
      </w:r>
      <w:r w:rsidRPr="00B231BF">
        <w:rPr>
          <w:spacing w:val="-1"/>
        </w:rPr>
        <w:t xml:space="preserve"> </w:t>
      </w:r>
      <w:r w:rsidRPr="00B231BF">
        <w:t>is</w:t>
      </w:r>
      <w:r w:rsidRPr="00B231BF">
        <w:rPr>
          <w:spacing w:val="-3"/>
        </w:rPr>
        <w:t xml:space="preserve"> </w:t>
      </w:r>
      <w:r w:rsidRPr="00B231BF">
        <w:t>not</w:t>
      </w:r>
      <w:r w:rsidRPr="00B231BF">
        <w:rPr>
          <w:spacing w:val="-4"/>
        </w:rPr>
        <w:t xml:space="preserve"> </w:t>
      </w:r>
      <w:r w:rsidRPr="00B231BF">
        <w:t>available for a</w:t>
      </w:r>
      <w:r w:rsidRPr="00B231BF">
        <w:rPr>
          <w:spacing w:val="-3"/>
        </w:rPr>
        <w:t xml:space="preserve"> </w:t>
      </w:r>
      <w:r w:rsidRPr="00B231BF">
        <w:t>breach</w:t>
      </w:r>
      <w:r w:rsidRPr="00B231BF">
        <w:rPr>
          <w:spacing w:val="-4"/>
        </w:rPr>
        <w:t xml:space="preserve"> </w:t>
      </w:r>
      <w:r w:rsidRPr="00B231BF">
        <w:t>of</w:t>
      </w:r>
      <w:r w:rsidRPr="00B231BF">
        <w:rPr>
          <w:spacing w:val="1"/>
        </w:rPr>
        <w:t xml:space="preserve"> </w:t>
      </w:r>
      <w:r>
        <w:t>s</w:t>
      </w:r>
      <w:r w:rsidR="00682A9B">
        <w:t>ection</w:t>
      </w:r>
      <w:r>
        <w:t xml:space="preserve"> 20BQ</w:t>
      </w:r>
      <w:r w:rsidRPr="00B231BF">
        <w:t>.</w:t>
      </w:r>
    </w:p>
    <w:p w14:paraId="17AF3AAF" w14:textId="55527F8A" w:rsidR="009F40F1" w:rsidRPr="004D0132" w:rsidRDefault="009F40F1" w:rsidP="00E34801">
      <w:pPr>
        <w:pStyle w:val="Heading2"/>
      </w:pPr>
      <w:bookmarkStart w:id="36" w:name="_Toc147762850"/>
      <w:bookmarkStart w:id="37" w:name="_Toc147931085"/>
      <w:r w:rsidRPr="004D0132">
        <w:t>Recording outcomes in CaseHQ</w:t>
      </w:r>
      <w:bookmarkEnd w:id="36"/>
      <w:bookmarkEnd w:id="37"/>
    </w:p>
    <w:p w14:paraId="559F38FE" w14:textId="7655A6DB" w:rsidR="009F40F1" w:rsidRPr="005E7B17" w:rsidRDefault="009F40F1" w:rsidP="009F40F1">
      <w:pPr>
        <w:pStyle w:val="NumberedParagraph"/>
      </w:pPr>
      <w:r>
        <w:t>At</w:t>
      </w:r>
      <w:r>
        <w:rPr>
          <w:spacing w:val="-1"/>
        </w:rPr>
        <w:t xml:space="preserve"> </w:t>
      </w:r>
      <w:r>
        <w:t>the</w:t>
      </w:r>
      <w:r>
        <w:rPr>
          <w:spacing w:val="-2"/>
        </w:rPr>
        <w:t xml:space="preserve"> </w:t>
      </w:r>
      <w:r>
        <w:t>conclusion</w:t>
      </w:r>
      <w:r>
        <w:rPr>
          <w:spacing w:val="-4"/>
        </w:rPr>
        <w:t xml:space="preserve"> </w:t>
      </w:r>
      <w:r>
        <w:t>of the</w:t>
      </w:r>
      <w:r>
        <w:rPr>
          <w:spacing w:val="-3"/>
        </w:rPr>
        <w:t xml:space="preserve"> </w:t>
      </w:r>
      <w:r>
        <w:t>matter,</w:t>
      </w:r>
      <w:r>
        <w:rPr>
          <w:spacing w:val="-2"/>
        </w:rPr>
        <w:t xml:space="preserve"> </w:t>
      </w:r>
      <w:r>
        <w:t>any</w:t>
      </w:r>
      <w:r>
        <w:rPr>
          <w:spacing w:val="-1"/>
        </w:rPr>
        <w:t xml:space="preserve"> </w:t>
      </w:r>
      <w:r>
        <w:t>applicable</w:t>
      </w:r>
      <w:r>
        <w:rPr>
          <w:spacing w:val="-3"/>
        </w:rPr>
        <w:t xml:space="preserve"> </w:t>
      </w:r>
      <w:r>
        <w:t>outcomes</w:t>
      </w:r>
      <w:r>
        <w:rPr>
          <w:spacing w:val="-3"/>
        </w:rPr>
        <w:t xml:space="preserve"> </w:t>
      </w:r>
      <w:r>
        <w:t>must be recorded in</w:t>
      </w:r>
      <w:r>
        <w:rPr>
          <w:spacing w:val="1"/>
        </w:rPr>
        <w:t xml:space="preserve"> </w:t>
      </w:r>
      <w:r>
        <w:t>CaseHQ.</w:t>
      </w:r>
      <w:r>
        <w:rPr>
          <w:rStyle w:val="FootnoteReference"/>
        </w:rPr>
        <w:footnoteReference w:id="46"/>
      </w:r>
    </w:p>
    <w:p w14:paraId="15D3B729" w14:textId="5A5B4C7D" w:rsidR="009F40F1" w:rsidRPr="004D0132" w:rsidRDefault="009F40F1" w:rsidP="009F40F1">
      <w:pPr>
        <w:pStyle w:val="Heading1"/>
      </w:pPr>
      <w:bookmarkStart w:id="38" w:name="_Toc147762851"/>
      <w:bookmarkStart w:id="39" w:name="_Toc147931086"/>
      <w:r w:rsidRPr="004D0132">
        <w:t>Other related resources</w:t>
      </w:r>
      <w:bookmarkEnd w:id="38"/>
      <w:bookmarkEnd w:id="39"/>
    </w:p>
    <w:p w14:paraId="76265B62" w14:textId="3A214089" w:rsidR="009F40F1" w:rsidRDefault="009F40F1" w:rsidP="009F40F1">
      <w:pPr>
        <w:pStyle w:val="NumberedParagraph"/>
      </w:pPr>
      <w:r w:rsidRPr="00B231BF">
        <w:t xml:space="preserve">Note that the scope of this NLD is limited to the procedures set out in Divisions 6 and 8 of the </w:t>
      </w:r>
      <w:r w:rsidRPr="00B231BF">
        <w:rPr>
          <w:i/>
        </w:rPr>
        <w:t>Crimes</w:t>
      </w:r>
      <w:r w:rsidR="00682A9B">
        <w:rPr>
          <w:i/>
        </w:rPr>
        <w:t xml:space="preserve"> </w:t>
      </w:r>
      <w:r w:rsidRPr="00B231BF">
        <w:rPr>
          <w:i/>
          <w:spacing w:val="-47"/>
        </w:rPr>
        <w:t xml:space="preserve"> </w:t>
      </w:r>
      <w:r>
        <w:rPr>
          <w:i/>
          <w:spacing w:val="-47"/>
        </w:rPr>
        <w:t xml:space="preserve"> </w:t>
      </w:r>
      <w:r w:rsidRPr="00B231BF">
        <w:rPr>
          <w:i/>
        </w:rPr>
        <w:t>Act.</w:t>
      </w:r>
      <w:r w:rsidRPr="00B231BF">
        <w:rPr>
          <w:i/>
          <w:spacing w:val="-1"/>
        </w:rPr>
        <w:t xml:space="preserve"> </w:t>
      </w:r>
      <w:r w:rsidRPr="00B231BF">
        <w:t>Other related resources are</w:t>
      </w:r>
      <w:r w:rsidRPr="00B231BF">
        <w:rPr>
          <w:spacing w:val="1"/>
        </w:rPr>
        <w:t xml:space="preserve"> </w:t>
      </w:r>
      <w:r w:rsidRPr="00B231BF">
        <w:t>listed</w:t>
      </w:r>
      <w:r w:rsidRPr="00B231BF">
        <w:rPr>
          <w:spacing w:val="-1"/>
        </w:rPr>
        <w:t xml:space="preserve"> </w:t>
      </w:r>
      <w:r w:rsidRPr="00B231BF">
        <w:t>below.</w:t>
      </w:r>
    </w:p>
    <w:p w14:paraId="0BC867D8" w14:textId="6B28B576" w:rsidR="009F40F1" w:rsidRPr="004703D9" w:rsidRDefault="00622B56" w:rsidP="00622B56">
      <w:pPr>
        <w:pStyle w:val="Tab1"/>
      </w:pPr>
      <w:bookmarkStart w:id="40" w:name="_Hlk147926758"/>
      <w:r w:rsidRPr="00622B56">
        <w:rPr>
          <w:u w:val="single"/>
        </w:rPr>
        <w:t>Mental health considerations at the brief assessment stage</w:t>
      </w:r>
      <w:r>
        <w:t xml:space="preserve">: </w:t>
      </w:r>
      <w:r w:rsidR="009F40F1" w:rsidRPr="004703D9">
        <w:t>Paragraph</w:t>
      </w:r>
      <w:r w:rsidR="009F40F1" w:rsidRPr="004703D9">
        <w:rPr>
          <w:spacing w:val="-2"/>
        </w:rPr>
        <w:t xml:space="preserve"> </w:t>
      </w:r>
      <w:r w:rsidR="009F40F1" w:rsidRPr="004703D9">
        <w:t>7</w:t>
      </w:r>
      <w:r w:rsidR="009F40F1" w:rsidRPr="004703D9">
        <w:rPr>
          <w:spacing w:val="-3"/>
        </w:rPr>
        <w:t xml:space="preserve"> </w:t>
      </w:r>
      <w:r w:rsidR="009F40F1" w:rsidRPr="004703D9">
        <w:t>of</w:t>
      </w:r>
      <w:r w:rsidR="009F40F1" w:rsidRPr="004703D9">
        <w:rPr>
          <w:spacing w:val="-4"/>
        </w:rPr>
        <w:t xml:space="preserve"> </w:t>
      </w:r>
      <w:r w:rsidR="009F40F1" w:rsidRPr="004703D9">
        <w:t>the</w:t>
      </w:r>
      <w:r w:rsidR="009F40F1" w:rsidRPr="004703D9">
        <w:rPr>
          <w:spacing w:val="-2"/>
        </w:rPr>
        <w:t xml:space="preserve"> </w:t>
      </w:r>
      <w:hyperlink r:id="rId11">
        <w:r w:rsidR="009F40F1" w:rsidRPr="004703D9">
          <w:rPr>
            <w:u w:val="single" w:color="006FC0"/>
          </w:rPr>
          <w:t>Prosecution</w:t>
        </w:r>
        <w:r w:rsidR="009F40F1" w:rsidRPr="004703D9">
          <w:rPr>
            <w:spacing w:val="-4"/>
            <w:u w:val="single" w:color="006FC0"/>
          </w:rPr>
          <w:t xml:space="preserve"> </w:t>
        </w:r>
        <w:r w:rsidR="009F40F1" w:rsidRPr="004703D9">
          <w:rPr>
            <w:u w:val="single" w:color="006FC0"/>
          </w:rPr>
          <w:t>Policy</w:t>
        </w:r>
        <w:r w:rsidR="009F40F1" w:rsidRPr="004703D9">
          <w:rPr>
            <w:spacing w:val="-1"/>
          </w:rPr>
          <w:t xml:space="preserve"> </w:t>
        </w:r>
      </w:hyperlink>
      <w:r w:rsidR="009F40F1" w:rsidRPr="004703D9">
        <w:t>provides that</w:t>
      </w:r>
      <w:r w:rsidR="009F40F1" w:rsidRPr="004703D9">
        <w:rPr>
          <w:spacing w:val="-1"/>
        </w:rPr>
        <w:t xml:space="preserve"> </w:t>
      </w:r>
      <w:r w:rsidR="009F40F1" w:rsidRPr="004703D9">
        <w:t>the</w:t>
      </w:r>
      <w:r w:rsidR="009F40F1" w:rsidRPr="004703D9">
        <w:rPr>
          <w:spacing w:val="-3"/>
        </w:rPr>
        <w:t xml:space="preserve"> </w:t>
      </w:r>
      <w:r w:rsidR="009F40F1" w:rsidRPr="004703D9">
        <w:t>mental health</w:t>
      </w:r>
      <w:r w:rsidR="009F40F1" w:rsidRPr="004703D9">
        <w:rPr>
          <w:spacing w:val="-4"/>
        </w:rPr>
        <w:t xml:space="preserve"> </w:t>
      </w:r>
      <w:r w:rsidR="009F40F1" w:rsidRPr="004703D9">
        <w:t>of</w:t>
      </w:r>
      <w:r w:rsidR="009F40F1" w:rsidRPr="004703D9">
        <w:rPr>
          <w:spacing w:val="-1"/>
        </w:rPr>
        <w:t xml:space="preserve"> </w:t>
      </w:r>
      <w:r w:rsidR="009F40F1" w:rsidRPr="004703D9">
        <w:t>the</w:t>
      </w:r>
      <w:r w:rsidR="009F40F1" w:rsidRPr="004703D9">
        <w:rPr>
          <w:spacing w:val="1"/>
        </w:rPr>
        <w:t xml:space="preserve"> </w:t>
      </w:r>
      <w:r w:rsidR="009F40F1" w:rsidRPr="004703D9">
        <w:t>alleged</w:t>
      </w:r>
      <w:r w:rsidR="009F40F1" w:rsidRPr="004703D9">
        <w:rPr>
          <w:spacing w:val="-4"/>
        </w:rPr>
        <w:t xml:space="preserve"> </w:t>
      </w:r>
      <w:r w:rsidR="009F40F1" w:rsidRPr="004703D9">
        <w:t>offender</w:t>
      </w:r>
      <w:r w:rsidR="009F40F1" w:rsidRPr="004703D9">
        <w:rPr>
          <w:spacing w:val="-2"/>
        </w:rPr>
        <w:t xml:space="preserve"> </w:t>
      </w:r>
      <w:r w:rsidR="009F40F1" w:rsidRPr="004703D9">
        <w:t>may arise</w:t>
      </w:r>
      <w:r w:rsidR="009F40F1" w:rsidRPr="004703D9">
        <w:rPr>
          <w:spacing w:val="-1"/>
        </w:rPr>
        <w:t xml:space="preserve"> </w:t>
      </w:r>
      <w:r w:rsidR="009F40F1" w:rsidRPr="004703D9">
        <w:t>at</w:t>
      </w:r>
      <w:r w:rsidR="009F40F1" w:rsidRPr="004703D9">
        <w:rPr>
          <w:spacing w:val="-2"/>
        </w:rPr>
        <w:t xml:space="preserve"> </w:t>
      </w:r>
      <w:r w:rsidR="009F40F1" w:rsidRPr="004703D9">
        <w:t>the</w:t>
      </w:r>
      <w:r w:rsidR="009F40F1" w:rsidRPr="004703D9">
        <w:rPr>
          <w:spacing w:val="-1"/>
        </w:rPr>
        <w:t xml:space="preserve"> </w:t>
      </w:r>
      <w:r w:rsidR="009F40F1" w:rsidRPr="004703D9">
        <w:t>brief</w:t>
      </w:r>
      <w:r w:rsidR="009F40F1" w:rsidRPr="004703D9">
        <w:rPr>
          <w:spacing w:val="-2"/>
        </w:rPr>
        <w:t xml:space="preserve"> </w:t>
      </w:r>
      <w:r w:rsidR="009F40F1" w:rsidRPr="004703D9">
        <w:t>assessment</w:t>
      </w:r>
      <w:r w:rsidR="009F40F1" w:rsidRPr="004703D9">
        <w:rPr>
          <w:spacing w:val="-3"/>
        </w:rPr>
        <w:t xml:space="preserve"> </w:t>
      </w:r>
      <w:r w:rsidR="009F40F1" w:rsidRPr="004703D9">
        <w:t>stage.</w:t>
      </w:r>
    </w:p>
    <w:p w14:paraId="6C6253DB" w14:textId="4B46D52B" w:rsidR="009F40F1" w:rsidRPr="00622B56" w:rsidRDefault="00622B56" w:rsidP="00622B56">
      <w:pPr>
        <w:pStyle w:val="Tab1"/>
        <w:rPr>
          <w:i/>
          <w:u w:val="single" w:color="006FC0"/>
        </w:rPr>
      </w:pPr>
      <w:r w:rsidRPr="00622B56">
        <w:rPr>
          <w:u w:val="single"/>
        </w:rPr>
        <w:t>Mental health and sentencing</w:t>
      </w:r>
      <w:r>
        <w:t xml:space="preserve">: </w:t>
      </w:r>
      <w:r w:rsidR="009F40F1" w:rsidRPr="004703D9">
        <w:t xml:space="preserve">For the topic of mental health as a consideration in sentencing, refer to </w:t>
      </w:r>
      <w:hyperlink r:id="rId12">
        <w:r w:rsidR="009F40F1" w:rsidRPr="00622B56">
          <w:rPr>
            <w:i/>
            <w:u w:val="single" w:color="006FC0"/>
          </w:rPr>
          <w:t xml:space="preserve">‘Sentencing of </w:t>
        </w:r>
        <w:r w:rsidR="00C56983" w:rsidRPr="00622B56">
          <w:rPr>
            <w:i/>
            <w:u w:val="single" w:color="006FC0"/>
          </w:rPr>
          <w:t>F</w:t>
        </w:r>
        <w:r w:rsidR="009F40F1" w:rsidRPr="00622B56">
          <w:rPr>
            <w:i/>
            <w:u w:val="single" w:color="006FC0"/>
          </w:rPr>
          <w:t>ederal</w:t>
        </w:r>
      </w:hyperlink>
      <w:r w:rsidR="00C56983" w:rsidRPr="00622B56">
        <w:rPr>
          <w:i/>
          <w:u w:val="single" w:color="006FC0"/>
        </w:rPr>
        <w:t xml:space="preserve"> </w:t>
      </w:r>
      <w:r w:rsidR="009F40F1" w:rsidRPr="00622B56">
        <w:rPr>
          <w:i/>
          <w:spacing w:val="-47"/>
        </w:rPr>
        <w:t xml:space="preserve"> </w:t>
      </w:r>
      <w:hyperlink r:id="rId13">
        <w:r w:rsidR="00C56983" w:rsidRPr="00622B56">
          <w:rPr>
            <w:i/>
            <w:u w:val="single" w:color="006FC0"/>
          </w:rPr>
          <w:t>O</w:t>
        </w:r>
        <w:r w:rsidR="009F40F1" w:rsidRPr="00622B56">
          <w:rPr>
            <w:i/>
            <w:u w:val="single" w:color="006FC0"/>
          </w:rPr>
          <w:t>ffenders</w:t>
        </w:r>
        <w:r w:rsidR="009F40F1" w:rsidRPr="00622B56">
          <w:rPr>
            <w:i/>
            <w:spacing w:val="-1"/>
            <w:u w:val="single" w:color="006FC0"/>
          </w:rPr>
          <w:t xml:space="preserve"> </w:t>
        </w:r>
        <w:r w:rsidR="009F40F1" w:rsidRPr="00622B56">
          <w:rPr>
            <w:i/>
            <w:u w:val="single" w:color="006FC0"/>
          </w:rPr>
          <w:t>in</w:t>
        </w:r>
        <w:r w:rsidR="009F40F1" w:rsidRPr="00622B56">
          <w:rPr>
            <w:i/>
            <w:spacing w:val="-1"/>
            <w:u w:val="single" w:color="006FC0"/>
          </w:rPr>
          <w:t xml:space="preserve"> </w:t>
        </w:r>
        <w:r w:rsidR="009F40F1" w:rsidRPr="00622B56">
          <w:rPr>
            <w:i/>
            <w:u w:val="single" w:color="006FC0"/>
          </w:rPr>
          <w:t>Australia -</w:t>
        </w:r>
        <w:r w:rsidR="009F40F1" w:rsidRPr="00622B56">
          <w:rPr>
            <w:i/>
            <w:spacing w:val="-3"/>
            <w:u w:val="single" w:color="006FC0"/>
          </w:rPr>
          <w:t xml:space="preserve"> </w:t>
        </w:r>
        <w:r w:rsidR="00C56983" w:rsidRPr="00622B56">
          <w:rPr>
            <w:i/>
            <w:u w:val="single" w:color="006FC0"/>
          </w:rPr>
          <w:t>A</w:t>
        </w:r>
        <w:r w:rsidR="009F40F1" w:rsidRPr="00622B56">
          <w:rPr>
            <w:i/>
            <w:spacing w:val="-1"/>
            <w:u w:val="single" w:color="006FC0"/>
          </w:rPr>
          <w:t xml:space="preserve"> </w:t>
        </w:r>
        <w:r w:rsidR="00C56983" w:rsidRPr="00622B56">
          <w:rPr>
            <w:i/>
            <w:u w:val="single" w:color="006FC0"/>
          </w:rPr>
          <w:t>G</w:t>
        </w:r>
        <w:r w:rsidR="009F40F1" w:rsidRPr="00622B56">
          <w:rPr>
            <w:i/>
            <w:u w:val="single" w:color="006FC0"/>
          </w:rPr>
          <w:t>uide</w:t>
        </w:r>
        <w:r w:rsidR="009F40F1" w:rsidRPr="00622B56">
          <w:rPr>
            <w:i/>
            <w:spacing w:val="-1"/>
            <w:u w:val="single" w:color="006FC0"/>
          </w:rPr>
          <w:t xml:space="preserve"> </w:t>
        </w:r>
        <w:r w:rsidR="009F40F1" w:rsidRPr="00622B56">
          <w:rPr>
            <w:i/>
            <w:u w:val="single" w:color="006FC0"/>
          </w:rPr>
          <w:t>for</w:t>
        </w:r>
        <w:r w:rsidR="009F40F1" w:rsidRPr="00622B56">
          <w:rPr>
            <w:i/>
            <w:spacing w:val="1"/>
            <w:u w:val="single" w:color="006FC0"/>
          </w:rPr>
          <w:t xml:space="preserve"> </w:t>
        </w:r>
        <w:r w:rsidR="00C56983" w:rsidRPr="00622B56">
          <w:rPr>
            <w:i/>
            <w:u w:val="single" w:color="006FC0"/>
          </w:rPr>
          <w:t>P</w:t>
        </w:r>
        <w:r w:rsidR="009F40F1" w:rsidRPr="00622B56">
          <w:rPr>
            <w:i/>
            <w:u w:val="single" w:color="006FC0"/>
          </w:rPr>
          <w:t>ractitioners’.</w:t>
        </w:r>
      </w:hyperlink>
    </w:p>
    <w:bookmarkEnd w:id="40"/>
    <w:p w14:paraId="53C55998" w14:textId="77777777" w:rsidR="009F40F1" w:rsidRDefault="009F40F1" w:rsidP="009F40F1">
      <w:pPr>
        <w:rPr>
          <w:i/>
          <w:u w:val="single" w:color="006FC0"/>
        </w:rPr>
      </w:pPr>
    </w:p>
    <w:tbl>
      <w:tblPr>
        <w:tblStyle w:val="GridTable4-Accent1"/>
        <w:tblW w:w="10055" w:type="dxa"/>
        <w:tblLook w:val="04A0" w:firstRow="1" w:lastRow="0" w:firstColumn="1" w:lastColumn="0" w:noHBand="0" w:noVBand="1"/>
      </w:tblPr>
      <w:tblGrid>
        <w:gridCol w:w="1101"/>
        <w:gridCol w:w="1866"/>
        <w:gridCol w:w="2268"/>
        <w:gridCol w:w="4820"/>
      </w:tblGrid>
      <w:tr w:rsidR="009F40F1" w14:paraId="4632E433" w14:textId="77777777" w:rsidTr="00E47480">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101" w:type="dxa"/>
            <w:hideMark/>
          </w:tcPr>
          <w:p w14:paraId="4D95D664" w14:textId="77777777" w:rsidR="009F40F1" w:rsidRPr="009F40F1" w:rsidRDefault="009F40F1" w:rsidP="00717DB0">
            <w:pPr>
              <w:pStyle w:val="Tableheader"/>
              <w:rPr>
                <w:color w:val="FFFFFF" w:themeColor="background2"/>
              </w:rPr>
            </w:pPr>
            <w:r w:rsidRPr="009F40F1">
              <w:rPr>
                <w:color w:val="FFFFFF" w:themeColor="background2"/>
              </w:rPr>
              <w:t>Version</w:t>
            </w:r>
          </w:p>
        </w:tc>
        <w:tc>
          <w:tcPr>
            <w:tcW w:w="1866" w:type="dxa"/>
            <w:hideMark/>
          </w:tcPr>
          <w:p w14:paraId="084E9884" w14:textId="77777777" w:rsidR="009F40F1" w:rsidRPr="009F40F1" w:rsidRDefault="009F40F1" w:rsidP="00717DB0">
            <w:pPr>
              <w:pStyle w:val="Tableheader"/>
              <w:cnfStyle w:val="100000000000" w:firstRow="1" w:lastRow="0" w:firstColumn="0" w:lastColumn="0" w:oddVBand="0" w:evenVBand="0" w:oddHBand="0" w:evenHBand="0" w:firstRowFirstColumn="0" w:firstRowLastColumn="0" w:lastRowFirstColumn="0" w:lastRowLastColumn="0"/>
              <w:rPr>
                <w:color w:val="FFFFFF" w:themeColor="background2"/>
              </w:rPr>
            </w:pPr>
            <w:r w:rsidRPr="009F40F1">
              <w:rPr>
                <w:color w:val="FFFFFF" w:themeColor="background2"/>
              </w:rPr>
              <w:t>Date</w:t>
            </w:r>
          </w:p>
        </w:tc>
        <w:tc>
          <w:tcPr>
            <w:tcW w:w="2268" w:type="dxa"/>
            <w:hideMark/>
          </w:tcPr>
          <w:p w14:paraId="4A3DBFCB" w14:textId="77777777" w:rsidR="009F40F1" w:rsidRPr="009F40F1" w:rsidRDefault="009F40F1" w:rsidP="00717DB0">
            <w:pPr>
              <w:pStyle w:val="Tableheader"/>
              <w:cnfStyle w:val="100000000000" w:firstRow="1" w:lastRow="0" w:firstColumn="0" w:lastColumn="0" w:oddVBand="0" w:evenVBand="0" w:oddHBand="0" w:evenHBand="0" w:firstRowFirstColumn="0" w:firstRowLastColumn="0" w:lastRowFirstColumn="0" w:lastRowLastColumn="0"/>
              <w:rPr>
                <w:color w:val="FFFFFF" w:themeColor="background2"/>
              </w:rPr>
            </w:pPr>
            <w:r w:rsidRPr="009F40F1">
              <w:rPr>
                <w:color w:val="FFFFFF" w:themeColor="background2"/>
              </w:rPr>
              <w:t>Author</w:t>
            </w:r>
          </w:p>
        </w:tc>
        <w:tc>
          <w:tcPr>
            <w:tcW w:w="4820" w:type="dxa"/>
            <w:hideMark/>
          </w:tcPr>
          <w:p w14:paraId="3DF39F4B" w14:textId="77777777" w:rsidR="009F40F1" w:rsidRPr="009F40F1" w:rsidRDefault="009F40F1" w:rsidP="00717DB0">
            <w:pPr>
              <w:pStyle w:val="Tableheader"/>
              <w:cnfStyle w:val="100000000000" w:firstRow="1" w:lastRow="0" w:firstColumn="0" w:lastColumn="0" w:oddVBand="0" w:evenVBand="0" w:oddHBand="0" w:evenHBand="0" w:firstRowFirstColumn="0" w:firstRowLastColumn="0" w:lastRowFirstColumn="0" w:lastRowLastColumn="0"/>
              <w:rPr>
                <w:color w:val="FFFFFF" w:themeColor="background2"/>
              </w:rPr>
            </w:pPr>
            <w:r w:rsidRPr="009F40F1">
              <w:rPr>
                <w:color w:val="FFFFFF" w:themeColor="background2"/>
              </w:rPr>
              <w:t>Description</w:t>
            </w:r>
          </w:p>
        </w:tc>
      </w:tr>
      <w:tr w:rsidR="009F40F1" w14:paraId="31794BE4" w14:textId="77777777" w:rsidTr="00E474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hideMark/>
          </w:tcPr>
          <w:p w14:paraId="29695E35" w14:textId="77777777" w:rsidR="009F40F1" w:rsidRPr="004703D9" w:rsidRDefault="009F40F1" w:rsidP="00717DB0">
            <w:pPr>
              <w:pStyle w:val="Tabletext"/>
              <w:rPr>
                <w:color w:val="010101" w:themeColor="text1"/>
              </w:rPr>
            </w:pPr>
            <w:r w:rsidRPr="004703D9">
              <w:rPr>
                <w:color w:val="010101" w:themeColor="text1"/>
              </w:rPr>
              <w:t>1.1</w:t>
            </w:r>
          </w:p>
        </w:tc>
        <w:tc>
          <w:tcPr>
            <w:tcW w:w="1866" w:type="dxa"/>
            <w:shd w:val="clear" w:color="auto" w:fill="auto"/>
            <w:hideMark/>
          </w:tcPr>
          <w:p w14:paraId="4A4FDD63" w14:textId="77777777" w:rsidR="009F40F1" w:rsidRPr="004703D9" w:rsidRDefault="009F40F1" w:rsidP="00717DB0">
            <w:pPr>
              <w:pStyle w:val="Tabletext"/>
              <w:cnfStyle w:val="000000100000" w:firstRow="0" w:lastRow="0" w:firstColumn="0" w:lastColumn="0" w:oddVBand="0" w:evenVBand="0" w:oddHBand="1" w:evenHBand="0" w:firstRowFirstColumn="0" w:firstRowLastColumn="0" w:lastRowFirstColumn="0" w:lastRowLastColumn="0"/>
              <w:rPr>
                <w:color w:val="010101" w:themeColor="text1"/>
              </w:rPr>
            </w:pPr>
            <w:r w:rsidRPr="004703D9">
              <w:rPr>
                <w:color w:val="010101" w:themeColor="text1"/>
              </w:rPr>
              <w:t>May 2022</w:t>
            </w:r>
          </w:p>
        </w:tc>
        <w:tc>
          <w:tcPr>
            <w:tcW w:w="2268" w:type="dxa"/>
            <w:shd w:val="clear" w:color="auto" w:fill="auto"/>
            <w:hideMark/>
          </w:tcPr>
          <w:p w14:paraId="74ECF966" w14:textId="77777777" w:rsidR="009F40F1" w:rsidRPr="004703D9" w:rsidRDefault="009F40F1" w:rsidP="00717DB0">
            <w:pPr>
              <w:pStyle w:val="Tablet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101" w:themeColor="text1"/>
              </w:rPr>
            </w:pPr>
            <w:r w:rsidRPr="004703D9">
              <w:rPr>
                <w:color w:val="010101" w:themeColor="text1"/>
              </w:rPr>
              <w:t>LCP</w:t>
            </w:r>
          </w:p>
        </w:tc>
        <w:tc>
          <w:tcPr>
            <w:tcW w:w="4820" w:type="dxa"/>
            <w:shd w:val="clear" w:color="auto" w:fill="auto"/>
            <w:hideMark/>
          </w:tcPr>
          <w:p w14:paraId="4228C779" w14:textId="77777777" w:rsidR="009F40F1" w:rsidRPr="004703D9" w:rsidRDefault="009F40F1" w:rsidP="009F40F1">
            <w:pPr>
              <w:pStyle w:val="Tabletext"/>
              <w:numPr>
                <w:ilvl w:val="0"/>
                <w:numId w:val="21"/>
              </w:num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101" w:themeColor="text1"/>
              </w:rPr>
            </w:pPr>
            <w:r w:rsidRPr="004703D9">
              <w:rPr>
                <w:color w:val="010101" w:themeColor="text1"/>
              </w:rPr>
              <w:t>Amend footnote 17 to correctly reference NSW legislation, convert to new template format</w:t>
            </w:r>
          </w:p>
        </w:tc>
      </w:tr>
      <w:tr w:rsidR="009F40F1" w14:paraId="199A4BAB" w14:textId="77777777" w:rsidTr="00E47480">
        <w:trPr>
          <w:cantSplit/>
        </w:trPr>
        <w:tc>
          <w:tcPr>
            <w:cnfStyle w:val="001000000000" w:firstRow="0" w:lastRow="0" w:firstColumn="1" w:lastColumn="0" w:oddVBand="0" w:evenVBand="0" w:oddHBand="0" w:evenHBand="0" w:firstRowFirstColumn="0" w:firstRowLastColumn="0" w:lastRowFirstColumn="0" w:lastRowLastColumn="0"/>
            <w:tcW w:w="1101" w:type="dxa"/>
            <w:hideMark/>
          </w:tcPr>
          <w:p w14:paraId="156148FD" w14:textId="77777777" w:rsidR="009F40F1" w:rsidRPr="004703D9" w:rsidRDefault="009F40F1" w:rsidP="00717DB0">
            <w:pPr>
              <w:pStyle w:val="Tabletext"/>
              <w:rPr>
                <w:rFonts w:cs="Calibri"/>
                <w:color w:val="010101" w:themeColor="text1"/>
                <w:lang w:val="en-US"/>
              </w:rPr>
            </w:pPr>
            <w:r w:rsidRPr="004703D9">
              <w:rPr>
                <w:color w:val="010101" w:themeColor="text1"/>
              </w:rPr>
              <w:lastRenderedPageBreak/>
              <w:t>2.1</w:t>
            </w:r>
          </w:p>
        </w:tc>
        <w:tc>
          <w:tcPr>
            <w:tcW w:w="1866" w:type="dxa"/>
          </w:tcPr>
          <w:p w14:paraId="5039DF9C" w14:textId="77777777" w:rsidR="009F40F1" w:rsidRPr="004703D9" w:rsidRDefault="009F40F1" w:rsidP="00717DB0">
            <w:pPr>
              <w:pStyle w:val="Tabletext"/>
              <w:cnfStyle w:val="000000000000" w:firstRow="0" w:lastRow="0" w:firstColumn="0" w:lastColumn="0" w:oddVBand="0" w:evenVBand="0" w:oddHBand="0" w:evenHBand="0" w:firstRowFirstColumn="0" w:firstRowLastColumn="0" w:lastRowFirstColumn="0" w:lastRowLastColumn="0"/>
              <w:rPr>
                <w:color w:val="010101" w:themeColor="text1"/>
              </w:rPr>
            </w:pPr>
            <w:r w:rsidRPr="004703D9">
              <w:rPr>
                <w:color w:val="010101" w:themeColor="text1"/>
              </w:rPr>
              <w:t>October 2023</w:t>
            </w:r>
          </w:p>
        </w:tc>
        <w:tc>
          <w:tcPr>
            <w:tcW w:w="2268" w:type="dxa"/>
          </w:tcPr>
          <w:p w14:paraId="57444B5F" w14:textId="77777777" w:rsidR="009F40F1" w:rsidRPr="004703D9" w:rsidRDefault="009F40F1" w:rsidP="00717DB0">
            <w:pPr>
              <w:pStyle w:val="Tabletext"/>
              <w:cnfStyle w:val="000000000000" w:firstRow="0" w:lastRow="0" w:firstColumn="0" w:lastColumn="0" w:oddVBand="0" w:evenVBand="0" w:oddHBand="0" w:evenHBand="0" w:firstRowFirstColumn="0" w:firstRowLastColumn="0" w:lastRowFirstColumn="0" w:lastRowLastColumn="0"/>
              <w:rPr>
                <w:color w:val="010101" w:themeColor="text1"/>
              </w:rPr>
            </w:pPr>
            <w:r w:rsidRPr="004703D9">
              <w:rPr>
                <w:color w:val="010101" w:themeColor="text1"/>
              </w:rPr>
              <w:t>LCP</w:t>
            </w:r>
          </w:p>
        </w:tc>
        <w:tc>
          <w:tcPr>
            <w:tcW w:w="4820" w:type="dxa"/>
          </w:tcPr>
          <w:p w14:paraId="720C6455" w14:textId="77777777" w:rsidR="009F40F1" w:rsidRPr="004703D9" w:rsidRDefault="009F40F1" w:rsidP="009F40F1">
            <w:pPr>
              <w:pStyle w:val="Tabletext"/>
              <w:numPr>
                <w:ilvl w:val="0"/>
                <w:numId w:val="20"/>
              </w:numPr>
              <w:jc w:val="left"/>
              <w:cnfStyle w:val="000000000000" w:firstRow="0" w:lastRow="0" w:firstColumn="0" w:lastColumn="0" w:oddVBand="0" w:evenVBand="0" w:oddHBand="0" w:evenHBand="0" w:firstRowFirstColumn="0" w:firstRowLastColumn="0" w:lastRowFirstColumn="0" w:lastRowLastColumn="0"/>
              <w:rPr>
                <w:color w:val="010101" w:themeColor="text1"/>
              </w:rPr>
            </w:pPr>
            <w:r w:rsidRPr="004703D9">
              <w:rPr>
                <w:color w:val="010101" w:themeColor="text1"/>
              </w:rPr>
              <w:t xml:space="preserve">Amend commentary </w:t>
            </w:r>
            <w:r>
              <w:rPr>
                <w:color w:val="010101" w:themeColor="text1"/>
              </w:rPr>
              <w:t>relating to</w:t>
            </w:r>
            <w:r w:rsidRPr="004703D9">
              <w:rPr>
                <w:color w:val="010101" w:themeColor="text1"/>
              </w:rPr>
              <w:t xml:space="preserve"> s 20BQ:</w:t>
            </w:r>
          </w:p>
          <w:p w14:paraId="60721580" w14:textId="77777777" w:rsidR="009F40F1" w:rsidRPr="004703D9" w:rsidRDefault="009F40F1" w:rsidP="009F40F1">
            <w:pPr>
              <w:pStyle w:val="Tabletext"/>
              <w:numPr>
                <w:ilvl w:val="1"/>
                <w:numId w:val="20"/>
              </w:numPr>
              <w:jc w:val="left"/>
              <w:cnfStyle w:val="000000000000" w:firstRow="0" w:lastRow="0" w:firstColumn="0" w:lastColumn="0" w:oddVBand="0" w:evenVBand="0" w:oddHBand="0" w:evenHBand="0" w:firstRowFirstColumn="0" w:firstRowLastColumn="0" w:lastRowFirstColumn="0" w:lastRowLastColumn="0"/>
              <w:rPr>
                <w:color w:val="010101" w:themeColor="text1"/>
              </w:rPr>
            </w:pPr>
            <w:r>
              <w:rPr>
                <w:color w:val="010101" w:themeColor="text1"/>
              </w:rPr>
              <w:t xml:space="preserve">Whether it is </w:t>
            </w:r>
            <w:r w:rsidRPr="004703D9">
              <w:rPr>
                <w:color w:val="010101" w:themeColor="text1"/>
              </w:rPr>
              <w:t>available after a plea of guilty is entered (per [35]);</w:t>
            </w:r>
          </w:p>
          <w:p w14:paraId="13AFBCD3" w14:textId="77777777" w:rsidR="009F40F1" w:rsidRPr="004703D9" w:rsidRDefault="009F40F1" w:rsidP="009F40F1">
            <w:pPr>
              <w:pStyle w:val="Tabletext"/>
              <w:numPr>
                <w:ilvl w:val="1"/>
                <w:numId w:val="20"/>
              </w:numPr>
              <w:jc w:val="left"/>
              <w:cnfStyle w:val="000000000000" w:firstRow="0" w:lastRow="0" w:firstColumn="0" w:lastColumn="0" w:oddVBand="0" w:evenVBand="0" w:oddHBand="0" w:evenHBand="0" w:firstRowFirstColumn="0" w:firstRowLastColumn="0" w:lastRowFirstColumn="0" w:lastRowLastColumn="0"/>
              <w:rPr>
                <w:color w:val="010101" w:themeColor="text1"/>
              </w:rPr>
            </w:pPr>
            <w:r>
              <w:rPr>
                <w:color w:val="010101" w:themeColor="text1"/>
              </w:rPr>
              <w:t xml:space="preserve">Confirming the CDPP view that s 20BQ </w:t>
            </w:r>
            <w:r w:rsidRPr="004703D9">
              <w:rPr>
                <w:color w:val="010101" w:themeColor="text1"/>
              </w:rPr>
              <w:t>is not limited to matters where a defendant is unfit to plead; and</w:t>
            </w:r>
          </w:p>
          <w:p w14:paraId="57EB9EA7" w14:textId="77777777" w:rsidR="009F40F1" w:rsidRPr="004703D9" w:rsidRDefault="009F40F1" w:rsidP="009F40F1">
            <w:pPr>
              <w:pStyle w:val="Tabletext"/>
              <w:numPr>
                <w:ilvl w:val="1"/>
                <w:numId w:val="20"/>
              </w:numPr>
              <w:jc w:val="left"/>
              <w:cnfStyle w:val="000000000000" w:firstRow="0" w:lastRow="0" w:firstColumn="0" w:lastColumn="0" w:oddVBand="0" w:evenVBand="0" w:oddHBand="0" w:evenHBand="0" w:firstRowFirstColumn="0" w:firstRowLastColumn="0" w:lastRowFirstColumn="0" w:lastRowLastColumn="0"/>
              <w:rPr>
                <w:color w:val="010101" w:themeColor="text1"/>
              </w:rPr>
            </w:pPr>
            <w:r>
              <w:rPr>
                <w:color w:val="010101" w:themeColor="text1"/>
              </w:rPr>
              <w:t xml:space="preserve">Confirming the CDPP view that it </w:t>
            </w:r>
            <w:r w:rsidRPr="004703D9">
              <w:rPr>
                <w:color w:val="010101" w:themeColor="text1"/>
              </w:rPr>
              <w:t>does not cover the field where a State/Territory law allows for a person to be found unfit to be tried in summary proceedings.</w:t>
            </w:r>
          </w:p>
          <w:p w14:paraId="751DF704" w14:textId="2F987769" w:rsidR="009F40F1" w:rsidRPr="004703D9" w:rsidRDefault="009F40F1" w:rsidP="009F40F1">
            <w:pPr>
              <w:pStyle w:val="Tabletext"/>
              <w:numPr>
                <w:ilvl w:val="0"/>
                <w:numId w:val="20"/>
              </w:numPr>
              <w:jc w:val="left"/>
              <w:cnfStyle w:val="000000000000" w:firstRow="0" w:lastRow="0" w:firstColumn="0" w:lastColumn="0" w:oddVBand="0" w:evenVBand="0" w:oddHBand="0" w:evenHBand="0" w:firstRowFirstColumn="0" w:firstRowLastColumn="0" w:lastRowFirstColumn="0" w:lastRowLastColumn="0"/>
              <w:rPr>
                <w:color w:val="010101" w:themeColor="text1"/>
              </w:rPr>
            </w:pPr>
            <w:r w:rsidRPr="004703D9">
              <w:rPr>
                <w:color w:val="010101" w:themeColor="text1"/>
              </w:rPr>
              <w:t xml:space="preserve">Formatting </w:t>
            </w:r>
            <w:r w:rsidR="00E47480">
              <w:rPr>
                <w:color w:val="010101" w:themeColor="text1"/>
              </w:rPr>
              <w:t>amendments and corrections</w:t>
            </w:r>
            <w:r w:rsidRPr="004703D9">
              <w:rPr>
                <w:color w:val="010101" w:themeColor="text1"/>
              </w:rPr>
              <w:t xml:space="preserve"> (including flowcharts).</w:t>
            </w:r>
          </w:p>
        </w:tc>
      </w:tr>
    </w:tbl>
    <w:p w14:paraId="52083056" w14:textId="77777777" w:rsidR="009F40F1" w:rsidRDefault="009F40F1" w:rsidP="009F40F1">
      <w:pPr>
        <w:pStyle w:val="Heading3"/>
        <w:sectPr w:rsidR="009F40F1" w:rsidSect="00D753DA">
          <w:headerReference w:type="even" r:id="rId14"/>
          <w:headerReference w:type="default" r:id="rId15"/>
          <w:footerReference w:type="default" r:id="rId16"/>
          <w:footerReference w:type="first" r:id="rId17"/>
          <w:pgSz w:w="11906" w:h="16838"/>
          <w:pgMar w:top="1134" w:right="851" w:bottom="1134" w:left="1134" w:header="340" w:footer="454" w:gutter="0"/>
          <w:cols w:space="708"/>
          <w:titlePg/>
          <w:docGrid w:linePitch="360"/>
        </w:sectPr>
      </w:pPr>
    </w:p>
    <w:p w14:paraId="1848A2A8" w14:textId="2C38DA39" w:rsidR="009F40F1" w:rsidRDefault="00AF4DD2" w:rsidP="00AF4DD2">
      <w:pPr>
        <w:pStyle w:val="Heading1"/>
      </w:pPr>
      <w:bookmarkStart w:id="41" w:name="_Toc147931087"/>
      <w:r>
        <w:lastRenderedPageBreak/>
        <w:t>Annexure A – Flowcharts for matters on indictment</w:t>
      </w:r>
      <w:bookmarkEnd w:id="41"/>
    </w:p>
    <w:p w14:paraId="75DAB3CA" w14:textId="1A38A378" w:rsidR="00AF4DD2" w:rsidRDefault="00C03C45" w:rsidP="00C03C45">
      <w:pPr>
        <w:jc w:val="center"/>
      </w:pPr>
      <w:r w:rsidRPr="00C03C45">
        <w:drawing>
          <wp:inline distT="0" distB="0" distL="0" distR="0" wp14:anchorId="09E3EA6B" wp14:editId="7BBC02C2">
            <wp:extent cx="8372104" cy="5604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88834" cy="5615394"/>
                    </a:xfrm>
                    <a:prstGeom prst="rect">
                      <a:avLst/>
                    </a:prstGeom>
                  </pic:spPr>
                </pic:pic>
              </a:graphicData>
            </a:graphic>
          </wp:inline>
        </w:drawing>
      </w:r>
    </w:p>
    <w:p w14:paraId="6E874FCF" w14:textId="20675C96" w:rsidR="00AF4DD2" w:rsidRDefault="00AF4DD2">
      <w:pPr>
        <w:spacing w:before="0" w:after="200"/>
        <w:jc w:val="left"/>
      </w:pPr>
      <w:r>
        <w:br w:type="page"/>
      </w:r>
    </w:p>
    <w:p w14:paraId="0F26323C" w14:textId="2A07B53B" w:rsidR="00AF4DD2" w:rsidRDefault="00581381" w:rsidP="00581381">
      <w:pPr>
        <w:spacing w:before="0" w:after="200"/>
        <w:jc w:val="center"/>
      </w:pPr>
      <w:r w:rsidRPr="00581381">
        <w:lastRenderedPageBreak/>
        <w:drawing>
          <wp:anchor distT="0" distB="0" distL="114300" distR="114300" simplePos="0" relativeHeight="251660288" behindDoc="0" locked="0" layoutInCell="1" allowOverlap="1" wp14:anchorId="04C06769" wp14:editId="2A39EDF8">
            <wp:simplePos x="0" y="0"/>
            <wp:positionH relativeFrom="column">
              <wp:posOffset>-90227</wp:posOffset>
            </wp:positionH>
            <wp:positionV relativeFrom="page">
              <wp:posOffset>1234440</wp:posOffset>
            </wp:positionV>
            <wp:extent cx="9423400" cy="4916170"/>
            <wp:effectExtent l="0" t="0" r="635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423400" cy="4916170"/>
                    </a:xfrm>
                    <a:prstGeom prst="rect">
                      <a:avLst/>
                    </a:prstGeom>
                  </pic:spPr>
                </pic:pic>
              </a:graphicData>
            </a:graphic>
            <wp14:sizeRelH relativeFrom="margin">
              <wp14:pctWidth>0</wp14:pctWidth>
            </wp14:sizeRelH>
            <wp14:sizeRelV relativeFrom="margin">
              <wp14:pctHeight>0</wp14:pctHeight>
            </wp14:sizeRelV>
          </wp:anchor>
        </w:drawing>
      </w:r>
      <w:r w:rsidR="00AF4DD2">
        <w:br w:type="page"/>
      </w:r>
    </w:p>
    <w:p w14:paraId="109E98AC" w14:textId="09CDAC81" w:rsidR="00AF4DD2" w:rsidRDefault="00D92FD4" w:rsidP="00E27FD9">
      <w:pPr>
        <w:jc w:val="center"/>
      </w:pPr>
      <w:r w:rsidRPr="00D92FD4">
        <w:lastRenderedPageBreak/>
        <w:drawing>
          <wp:anchor distT="0" distB="0" distL="114300" distR="114300" simplePos="0" relativeHeight="251661312" behindDoc="0" locked="0" layoutInCell="1" allowOverlap="1" wp14:anchorId="7447D1D9" wp14:editId="40B8D485">
            <wp:simplePos x="0" y="0"/>
            <wp:positionH relativeFrom="column">
              <wp:posOffset>111125</wp:posOffset>
            </wp:positionH>
            <wp:positionV relativeFrom="page">
              <wp:posOffset>913773</wp:posOffset>
            </wp:positionV>
            <wp:extent cx="9019540" cy="6032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019540" cy="6032500"/>
                    </a:xfrm>
                    <a:prstGeom prst="rect">
                      <a:avLst/>
                    </a:prstGeom>
                  </pic:spPr>
                </pic:pic>
              </a:graphicData>
            </a:graphic>
          </wp:anchor>
        </w:drawing>
      </w:r>
    </w:p>
    <w:p w14:paraId="4D41EC38" w14:textId="6BFC55E9" w:rsidR="00AF4DD2" w:rsidRPr="00AF4DD2" w:rsidRDefault="00D92FD4" w:rsidP="00E27FD9">
      <w:pPr>
        <w:spacing w:before="0" w:after="200"/>
        <w:jc w:val="center"/>
      </w:pPr>
      <w:r w:rsidRPr="00D92FD4">
        <w:lastRenderedPageBreak/>
        <w:drawing>
          <wp:anchor distT="0" distB="0" distL="114300" distR="114300" simplePos="0" relativeHeight="251662336" behindDoc="0" locked="0" layoutInCell="1" allowOverlap="1" wp14:anchorId="4A78C5ED" wp14:editId="6067668F">
            <wp:simplePos x="0" y="0"/>
            <wp:positionH relativeFrom="column">
              <wp:posOffset>87432</wp:posOffset>
            </wp:positionH>
            <wp:positionV relativeFrom="page">
              <wp:posOffset>795647</wp:posOffset>
            </wp:positionV>
            <wp:extent cx="9084310" cy="600456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084310" cy="6004560"/>
                    </a:xfrm>
                    <a:prstGeom prst="rect">
                      <a:avLst/>
                    </a:prstGeom>
                  </pic:spPr>
                </pic:pic>
              </a:graphicData>
            </a:graphic>
          </wp:anchor>
        </w:drawing>
      </w:r>
    </w:p>
    <w:sectPr w:rsidR="00AF4DD2" w:rsidRPr="00AF4DD2" w:rsidSect="00AF4DD2">
      <w:pgSz w:w="16838" w:h="11906" w:orient="landscape"/>
      <w:pgMar w:top="1134" w:right="1134" w:bottom="851" w:left="1134"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81D1" w14:textId="77777777" w:rsidR="00051592" w:rsidRDefault="00051592" w:rsidP="00DF11DB">
      <w:pPr>
        <w:spacing w:before="0" w:line="240" w:lineRule="auto"/>
      </w:pPr>
      <w:r>
        <w:separator/>
      </w:r>
    </w:p>
  </w:endnote>
  <w:endnote w:type="continuationSeparator" w:id="0">
    <w:p w14:paraId="1C93B88C" w14:textId="77777777" w:rsidR="00051592" w:rsidRDefault="00051592" w:rsidP="00DF11D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2991"/>
      <w:docPartObj>
        <w:docPartGallery w:val="Page Numbers (Bottom of Page)"/>
        <w:docPartUnique/>
      </w:docPartObj>
    </w:sdtPr>
    <w:sdtEndPr>
      <w:rPr>
        <w:noProof/>
      </w:rPr>
    </w:sdtEndPr>
    <w:sdtContent>
      <w:p w14:paraId="58ADAB4E" w14:textId="1AAFD106" w:rsidR="002B62F1" w:rsidRPr="006026A5" w:rsidRDefault="002B62F1" w:rsidP="002B62F1">
        <w:pPr>
          <w:pStyle w:val="Footer"/>
          <w:spacing w:before="120"/>
          <w:jc w:val="center"/>
          <w:rPr>
            <w:b/>
            <w:bCs/>
          </w:rPr>
        </w:pPr>
      </w:p>
      <w:p w14:paraId="016356D5" w14:textId="70F0A8DC" w:rsidR="008F408B" w:rsidRDefault="008F408B" w:rsidP="002B62F1">
        <w:pPr>
          <w:pStyle w:val="Footer"/>
          <w:spacing w:before="12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56749"/>
      <w:docPartObj>
        <w:docPartGallery w:val="Page Numbers (Bottom of Page)"/>
        <w:docPartUnique/>
      </w:docPartObj>
    </w:sdtPr>
    <w:sdtEndPr>
      <w:rPr>
        <w:noProof/>
      </w:rPr>
    </w:sdtEndPr>
    <w:sdtContent>
      <w:p w14:paraId="1E584EEB" w14:textId="08DD5BF3" w:rsidR="007B094C" w:rsidRDefault="007B094C" w:rsidP="00814F30">
        <w:pPr>
          <w:pStyle w:val="Footer"/>
          <w:spacing w:before="12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9839" w14:textId="77777777" w:rsidR="00051592" w:rsidRDefault="00051592" w:rsidP="00DF11DB">
      <w:pPr>
        <w:spacing w:before="0" w:line="240" w:lineRule="auto"/>
      </w:pPr>
      <w:r>
        <w:separator/>
      </w:r>
    </w:p>
  </w:footnote>
  <w:footnote w:type="continuationSeparator" w:id="0">
    <w:p w14:paraId="2928BDF7" w14:textId="77777777" w:rsidR="00051592" w:rsidRDefault="00051592" w:rsidP="00DF11DB">
      <w:pPr>
        <w:spacing w:before="0" w:line="240" w:lineRule="auto"/>
      </w:pPr>
      <w:r>
        <w:continuationSeparator/>
      </w:r>
    </w:p>
  </w:footnote>
  <w:footnote w:id="1">
    <w:p w14:paraId="471E4BA8" w14:textId="77777777" w:rsidR="00E81233" w:rsidRPr="00BF0AD5" w:rsidRDefault="00E81233" w:rsidP="00E81233">
      <w:pPr>
        <w:pStyle w:val="FootnoteText"/>
        <w:rPr>
          <w:rFonts w:asciiTheme="minorHAnsi" w:hAnsiTheme="minorHAnsi" w:cstheme="minorHAnsi"/>
          <w:color w:val="auto"/>
        </w:rPr>
      </w:pPr>
      <w:r w:rsidRPr="00BF0AD5">
        <w:rPr>
          <w:rStyle w:val="FootnoteReference"/>
          <w:rFonts w:asciiTheme="minorHAnsi" w:hAnsiTheme="minorHAnsi" w:cstheme="minorHAnsi"/>
          <w:color w:val="auto"/>
        </w:rPr>
        <w:footnoteRef/>
      </w:r>
      <w:r w:rsidRPr="00BF0AD5">
        <w:rPr>
          <w:rFonts w:asciiTheme="minorHAnsi" w:hAnsiTheme="minorHAnsi" w:cstheme="minorHAnsi"/>
          <w:color w:val="auto"/>
        </w:rPr>
        <w:t xml:space="preserve"> </w:t>
      </w:r>
      <w:r w:rsidRPr="00BF0AD5">
        <w:rPr>
          <w:rFonts w:asciiTheme="minorHAnsi" w:hAnsiTheme="minorHAnsi" w:cstheme="minorHAnsi"/>
          <w:i/>
          <w:iCs/>
          <w:color w:val="auto"/>
        </w:rPr>
        <w:t>Crimes Act</w:t>
      </w:r>
      <w:r w:rsidRPr="00BF0AD5">
        <w:rPr>
          <w:rFonts w:asciiTheme="minorHAnsi" w:hAnsiTheme="minorHAnsi" w:cstheme="minorHAnsi"/>
          <w:i/>
          <w:iCs/>
          <w:color w:val="auto"/>
          <w:spacing w:val="-2"/>
        </w:rPr>
        <w:t xml:space="preserve"> </w:t>
      </w:r>
      <w:r w:rsidRPr="00BF0AD5">
        <w:rPr>
          <w:rFonts w:asciiTheme="minorHAnsi" w:hAnsiTheme="minorHAnsi" w:cstheme="minorHAnsi"/>
          <w:i/>
          <w:iCs/>
          <w:color w:val="auto"/>
        </w:rPr>
        <w:t>1914</w:t>
      </w:r>
      <w:r w:rsidRPr="00BF0AD5">
        <w:rPr>
          <w:rFonts w:asciiTheme="minorHAnsi" w:hAnsiTheme="minorHAnsi" w:cstheme="minorHAnsi"/>
          <w:color w:val="auto"/>
        </w:rPr>
        <w:t xml:space="preserve"> (</w:t>
      </w:r>
      <w:proofErr w:type="spellStart"/>
      <w:r w:rsidRPr="00BF0AD5">
        <w:rPr>
          <w:rFonts w:asciiTheme="minorHAnsi" w:hAnsiTheme="minorHAnsi" w:cstheme="minorHAnsi"/>
          <w:color w:val="auto"/>
        </w:rPr>
        <w:t>Cth</w:t>
      </w:r>
      <w:proofErr w:type="spellEnd"/>
      <w:r w:rsidRPr="00BF0AD5">
        <w:rPr>
          <w:rFonts w:asciiTheme="minorHAnsi" w:hAnsiTheme="minorHAnsi" w:cstheme="minorHAnsi"/>
          <w:color w:val="auto"/>
        </w:rPr>
        <w:t>) (</w:t>
      </w:r>
      <w:r w:rsidRPr="00BF0AD5">
        <w:rPr>
          <w:rFonts w:asciiTheme="minorHAnsi" w:hAnsiTheme="minorHAnsi" w:cstheme="minorHAnsi"/>
          <w:i/>
          <w:iCs/>
          <w:color w:val="auto"/>
        </w:rPr>
        <w:t>‘</w:t>
      </w:r>
      <w:r w:rsidRPr="00BF0AD5">
        <w:rPr>
          <w:rFonts w:asciiTheme="minorHAnsi" w:hAnsiTheme="minorHAnsi" w:cstheme="minorHAnsi"/>
          <w:b/>
          <w:bCs/>
          <w:i/>
          <w:iCs/>
          <w:color w:val="auto"/>
        </w:rPr>
        <w:t>Crimes Act</w:t>
      </w:r>
      <w:r w:rsidRPr="00BF0AD5">
        <w:rPr>
          <w:rFonts w:asciiTheme="minorHAnsi" w:hAnsiTheme="minorHAnsi" w:cstheme="minorHAnsi"/>
          <w:i/>
          <w:iCs/>
          <w:color w:val="auto"/>
        </w:rPr>
        <w:t>’</w:t>
      </w:r>
      <w:r w:rsidRPr="00BF0AD5">
        <w:rPr>
          <w:rFonts w:asciiTheme="minorHAnsi" w:hAnsiTheme="minorHAnsi" w:cstheme="minorHAnsi"/>
          <w:color w:val="auto"/>
        </w:rPr>
        <w:t>) s 16.</w:t>
      </w:r>
    </w:p>
  </w:footnote>
  <w:footnote w:id="2">
    <w:p w14:paraId="33ADFEA2" w14:textId="72AF0A5C" w:rsidR="00D04479" w:rsidRPr="00BF0AD5" w:rsidRDefault="00D04479">
      <w:pPr>
        <w:pStyle w:val="FootnoteText"/>
        <w:rPr>
          <w:rFonts w:asciiTheme="minorHAnsi" w:hAnsiTheme="minorHAnsi" w:cstheme="minorHAnsi"/>
          <w:color w:val="auto"/>
        </w:rPr>
      </w:pPr>
      <w:r w:rsidRPr="00BF0AD5">
        <w:rPr>
          <w:rStyle w:val="FootnoteReference"/>
          <w:rFonts w:asciiTheme="minorHAnsi" w:hAnsiTheme="minorHAnsi" w:cstheme="minorHAnsi"/>
          <w:color w:val="auto"/>
        </w:rPr>
        <w:footnoteRef/>
      </w:r>
      <w:r w:rsidRPr="00BF0AD5">
        <w:rPr>
          <w:rFonts w:asciiTheme="minorHAnsi" w:hAnsiTheme="minorHAnsi" w:cstheme="minorHAnsi"/>
          <w:color w:val="auto"/>
        </w:rPr>
        <w:t xml:space="preserve"> Ibid ss 20BQ-20BR.</w:t>
      </w:r>
    </w:p>
  </w:footnote>
  <w:footnote w:id="3">
    <w:p w14:paraId="19568D25" w14:textId="050A9DB0" w:rsidR="00E22D30" w:rsidRPr="00BF0AD5" w:rsidRDefault="00E22D30">
      <w:pPr>
        <w:pStyle w:val="FootnoteText"/>
        <w:rPr>
          <w:color w:val="auto"/>
        </w:rPr>
      </w:pPr>
      <w:r w:rsidRPr="00BF0AD5">
        <w:rPr>
          <w:rStyle w:val="FootnoteReference"/>
          <w:rFonts w:asciiTheme="minorHAnsi" w:hAnsiTheme="minorHAnsi" w:cstheme="minorHAnsi"/>
          <w:color w:val="auto"/>
        </w:rPr>
        <w:footnoteRef/>
      </w:r>
      <w:r w:rsidRPr="00BF0AD5">
        <w:rPr>
          <w:rFonts w:asciiTheme="minorHAnsi" w:hAnsiTheme="minorHAnsi" w:cstheme="minorHAnsi"/>
          <w:color w:val="auto"/>
        </w:rPr>
        <w:t xml:space="preserve"> </w:t>
      </w:r>
      <w:r w:rsidR="00D04479" w:rsidRPr="00BF0AD5">
        <w:rPr>
          <w:rFonts w:asciiTheme="minorHAnsi" w:hAnsiTheme="minorHAnsi" w:cstheme="minorHAnsi"/>
          <w:color w:val="auto"/>
        </w:rPr>
        <w:t>Ibid ss 20B-20BI.</w:t>
      </w:r>
    </w:p>
  </w:footnote>
  <w:footnote w:id="4">
    <w:p w14:paraId="1C81C4A3" w14:textId="3E1994F9"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i/>
          <w:color w:val="auto"/>
        </w:rPr>
        <w:t>R</w:t>
      </w:r>
      <w:r w:rsidRPr="005E7B17">
        <w:rPr>
          <w:i/>
          <w:color w:val="auto"/>
          <w:spacing w:val="-2"/>
        </w:rPr>
        <w:t xml:space="preserve"> </w:t>
      </w:r>
      <w:r w:rsidRPr="005E7B17">
        <w:rPr>
          <w:i/>
          <w:color w:val="auto"/>
        </w:rPr>
        <w:t>v</w:t>
      </w:r>
      <w:r w:rsidRPr="005E7B17">
        <w:rPr>
          <w:i/>
          <w:color w:val="auto"/>
          <w:spacing w:val="-2"/>
        </w:rPr>
        <w:t xml:space="preserve"> </w:t>
      </w:r>
      <w:proofErr w:type="spellStart"/>
      <w:r w:rsidRPr="005E7B17">
        <w:rPr>
          <w:i/>
          <w:color w:val="auto"/>
        </w:rPr>
        <w:t>Mailes</w:t>
      </w:r>
      <w:proofErr w:type="spellEnd"/>
      <w:r w:rsidRPr="005E7B17">
        <w:rPr>
          <w:i/>
          <w:color w:val="auto"/>
          <w:spacing w:val="-2"/>
        </w:rPr>
        <w:t xml:space="preserve"> </w:t>
      </w:r>
      <w:r w:rsidRPr="005E7B17">
        <w:rPr>
          <w:color w:val="auto"/>
        </w:rPr>
        <w:t>[2001]</w:t>
      </w:r>
      <w:r w:rsidRPr="005E7B17">
        <w:rPr>
          <w:color w:val="auto"/>
          <w:spacing w:val="-1"/>
        </w:rPr>
        <w:t xml:space="preserve"> </w:t>
      </w:r>
      <w:r w:rsidRPr="005E7B17">
        <w:rPr>
          <w:color w:val="auto"/>
        </w:rPr>
        <w:t>NSWCCA</w:t>
      </w:r>
      <w:r w:rsidRPr="005E7B17">
        <w:rPr>
          <w:color w:val="auto"/>
          <w:spacing w:val="-3"/>
        </w:rPr>
        <w:t xml:space="preserve"> </w:t>
      </w:r>
      <w:r w:rsidRPr="005E7B17">
        <w:rPr>
          <w:color w:val="auto"/>
        </w:rPr>
        <w:t>155</w:t>
      </w:r>
      <w:r w:rsidR="00E34801">
        <w:rPr>
          <w:color w:val="auto"/>
        </w:rPr>
        <w:t>.</w:t>
      </w:r>
    </w:p>
  </w:footnote>
  <w:footnote w:id="5">
    <w:p w14:paraId="39617403" w14:textId="02CD3A88"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In </w:t>
      </w:r>
      <w:proofErr w:type="spellStart"/>
      <w:r w:rsidRPr="005E7B17">
        <w:rPr>
          <w:i/>
          <w:color w:val="auto"/>
        </w:rPr>
        <w:t>Ebatarinja</w:t>
      </w:r>
      <w:proofErr w:type="spellEnd"/>
      <w:r w:rsidRPr="005E7B17">
        <w:rPr>
          <w:i/>
          <w:color w:val="auto"/>
        </w:rPr>
        <w:t xml:space="preserve"> v Deland </w:t>
      </w:r>
      <w:r w:rsidRPr="005E7B17">
        <w:rPr>
          <w:color w:val="auto"/>
        </w:rPr>
        <w:t>(1998) 194 CLR 444</w:t>
      </w:r>
      <w:r w:rsidR="00105953">
        <w:rPr>
          <w:color w:val="auto"/>
        </w:rPr>
        <w:t xml:space="preserve"> (‘</w:t>
      </w:r>
      <w:proofErr w:type="spellStart"/>
      <w:r w:rsidR="00105953" w:rsidRPr="00BF0AD5">
        <w:rPr>
          <w:b/>
          <w:bCs/>
          <w:i/>
          <w:iCs/>
          <w:color w:val="auto"/>
        </w:rPr>
        <w:t>Ebatarinja</w:t>
      </w:r>
      <w:proofErr w:type="spellEnd"/>
      <w:r w:rsidR="00105953" w:rsidRPr="00BF0AD5">
        <w:rPr>
          <w:b/>
          <w:bCs/>
          <w:i/>
          <w:iCs/>
          <w:color w:val="auto"/>
        </w:rPr>
        <w:t xml:space="preserve"> v Deland</w:t>
      </w:r>
      <w:r w:rsidR="00105953" w:rsidRPr="00091E0C">
        <w:rPr>
          <w:color w:val="auto"/>
        </w:rPr>
        <w:t>’</w:t>
      </w:r>
      <w:r w:rsidR="00105953">
        <w:rPr>
          <w:color w:val="auto"/>
        </w:rPr>
        <w:t>)</w:t>
      </w:r>
      <w:r w:rsidR="00BF0AD5">
        <w:rPr>
          <w:color w:val="auto"/>
        </w:rPr>
        <w:t xml:space="preserve">, </w:t>
      </w:r>
      <w:r w:rsidRPr="005E7B17">
        <w:rPr>
          <w:color w:val="auto"/>
        </w:rPr>
        <w:t>the High Court stated that proceedings such as committals cannot occur where a</w:t>
      </w:r>
      <w:r w:rsidR="00242754">
        <w:rPr>
          <w:color w:val="auto"/>
        </w:rPr>
        <w:t xml:space="preserve"> </w:t>
      </w:r>
      <w:r w:rsidRPr="005E7B17">
        <w:rPr>
          <w:color w:val="auto"/>
        </w:rPr>
        <w:t>person</w:t>
      </w:r>
      <w:r w:rsidRPr="005E7B17">
        <w:rPr>
          <w:color w:val="auto"/>
          <w:spacing w:val="-2"/>
        </w:rPr>
        <w:t xml:space="preserve"> </w:t>
      </w:r>
      <w:r w:rsidRPr="005E7B17">
        <w:rPr>
          <w:color w:val="auto"/>
        </w:rPr>
        <w:t>is</w:t>
      </w:r>
      <w:r w:rsidRPr="005E7B17">
        <w:rPr>
          <w:color w:val="auto"/>
          <w:spacing w:val="-1"/>
        </w:rPr>
        <w:t xml:space="preserve"> </w:t>
      </w:r>
      <w:r w:rsidRPr="005E7B17">
        <w:rPr>
          <w:color w:val="auto"/>
        </w:rPr>
        <w:t>in</w:t>
      </w:r>
      <w:r w:rsidRPr="005E7B17">
        <w:rPr>
          <w:color w:val="auto"/>
          <w:spacing w:val="-2"/>
        </w:rPr>
        <w:t xml:space="preserve"> </w:t>
      </w:r>
      <w:r w:rsidRPr="005E7B17">
        <w:rPr>
          <w:color w:val="auto"/>
        </w:rPr>
        <w:t>a</w:t>
      </w:r>
      <w:r w:rsidRPr="005E7B17">
        <w:rPr>
          <w:color w:val="auto"/>
          <w:spacing w:val="-1"/>
        </w:rPr>
        <w:t xml:space="preserve"> </w:t>
      </w:r>
      <w:r w:rsidRPr="005E7B17">
        <w:rPr>
          <w:color w:val="auto"/>
        </w:rPr>
        <w:t>coma</w:t>
      </w:r>
    </w:p>
  </w:footnote>
  <w:footnote w:id="6">
    <w:p w14:paraId="6AAC65EA" w14:textId="38F7E4B4" w:rsidR="009F40F1" w:rsidRPr="005E7B17" w:rsidRDefault="009F40F1" w:rsidP="009F40F1">
      <w:pPr>
        <w:spacing w:before="0" w:line="240" w:lineRule="auto"/>
        <w:ind w:right="1144"/>
        <w:rPr>
          <w:sz w:val="20"/>
          <w:szCs w:val="20"/>
        </w:rPr>
      </w:pPr>
      <w:r w:rsidRPr="005E7B17">
        <w:rPr>
          <w:rStyle w:val="FootnoteReference"/>
          <w:sz w:val="20"/>
          <w:szCs w:val="20"/>
        </w:rPr>
        <w:footnoteRef/>
      </w:r>
      <w:r w:rsidRPr="005E7B17">
        <w:rPr>
          <w:sz w:val="20"/>
          <w:szCs w:val="20"/>
        </w:rPr>
        <w:t xml:space="preserve"> </w:t>
      </w:r>
      <w:r w:rsidR="00091E0C">
        <w:rPr>
          <w:sz w:val="20"/>
          <w:szCs w:val="20"/>
        </w:rPr>
        <w:t>See</w:t>
      </w:r>
      <w:r w:rsidRPr="005E7B17">
        <w:rPr>
          <w:sz w:val="20"/>
          <w:szCs w:val="20"/>
        </w:rPr>
        <w:t xml:space="preserve"> </w:t>
      </w:r>
      <w:r w:rsidR="00091E0C">
        <w:rPr>
          <w:sz w:val="20"/>
          <w:szCs w:val="20"/>
        </w:rPr>
        <w:t>ibid</w:t>
      </w:r>
      <w:r w:rsidR="00BF0AD5">
        <w:rPr>
          <w:sz w:val="20"/>
          <w:szCs w:val="20"/>
        </w:rPr>
        <w:t xml:space="preserve">, </w:t>
      </w:r>
      <w:r w:rsidRPr="005E7B17">
        <w:rPr>
          <w:sz w:val="20"/>
          <w:szCs w:val="20"/>
        </w:rPr>
        <w:t>the High Court indicated that in the Northern Territory a deaf mute with no ability to</w:t>
      </w:r>
      <w:r w:rsidR="00E34801">
        <w:rPr>
          <w:sz w:val="20"/>
          <w:szCs w:val="20"/>
        </w:rPr>
        <w:t xml:space="preserve"> </w:t>
      </w:r>
      <w:r w:rsidRPr="005E7B17">
        <w:rPr>
          <w:sz w:val="20"/>
          <w:szCs w:val="20"/>
        </w:rPr>
        <w:t>communicate could not legally be the subject of committal and that the issue of the appellant's fitness to plead was to be</w:t>
      </w:r>
      <w:r w:rsidRPr="005E7B17">
        <w:rPr>
          <w:spacing w:val="1"/>
          <w:sz w:val="20"/>
          <w:szCs w:val="20"/>
        </w:rPr>
        <w:t xml:space="preserve"> </w:t>
      </w:r>
      <w:r w:rsidRPr="005E7B17">
        <w:rPr>
          <w:sz w:val="20"/>
          <w:szCs w:val="20"/>
        </w:rPr>
        <w:t>determined</w:t>
      </w:r>
      <w:r w:rsidRPr="005E7B17">
        <w:rPr>
          <w:spacing w:val="-2"/>
          <w:sz w:val="20"/>
          <w:szCs w:val="20"/>
        </w:rPr>
        <w:t xml:space="preserve"> </w:t>
      </w:r>
      <w:r w:rsidRPr="005E7B17">
        <w:rPr>
          <w:sz w:val="20"/>
          <w:szCs w:val="20"/>
        </w:rPr>
        <w:t>under the</w:t>
      </w:r>
      <w:r w:rsidRPr="005E7B17">
        <w:rPr>
          <w:spacing w:val="-1"/>
          <w:sz w:val="20"/>
          <w:szCs w:val="20"/>
        </w:rPr>
        <w:t xml:space="preserve"> </w:t>
      </w:r>
      <w:r w:rsidRPr="005E7B17">
        <w:rPr>
          <w:sz w:val="20"/>
          <w:szCs w:val="20"/>
        </w:rPr>
        <w:t>provisions</w:t>
      </w:r>
      <w:r w:rsidRPr="005E7B17">
        <w:rPr>
          <w:spacing w:val="1"/>
          <w:sz w:val="20"/>
          <w:szCs w:val="20"/>
        </w:rPr>
        <w:t xml:space="preserve"> </w:t>
      </w:r>
      <w:r w:rsidRPr="005E7B17">
        <w:rPr>
          <w:sz w:val="20"/>
          <w:szCs w:val="20"/>
        </w:rPr>
        <w:t>of</w:t>
      </w:r>
      <w:r w:rsidRPr="005E7B17">
        <w:rPr>
          <w:spacing w:val="-1"/>
          <w:sz w:val="20"/>
          <w:szCs w:val="20"/>
        </w:rPr>
        <w:t xml:space="preserve"> </w:t>
      </w:r>
      <w:r w:rsidRPr="005E7B17">
        <w:rPr>
          <w:sz w:val="20"/>
          <w:szCs w:val="20"/>
        </w:rPr>
        <w:t>the</w:t>
      </w:r>
      <w:r w:rsidRPr="005E7B17">
        <w:rPr>
          <w:spacing w:val="1"/>
          <w:sz w:val="20"/>
          <w:szCs w:val="20"/>
        </w:rPr>
        <w:t xml:space="preserve"> </w:t>
      </w:r>
      <w:r w:rsidRPr="005E7B17">
        <w:rPr>
          <w:i/>
          <w:sz w:val="20"/>
          <w:szCs w:val="20"/>
        </w:rPr>
        <w:t>Criminal</w:t>
      </w:r>
      <w:r w:rsidRPr="005E7B17">
        <w:rPr>
          <w:i/>
          <w:spacing w:val="-1"/>
          <w:sz w:val="20"/>
          <w:szCs w:val="20"/>
        </w:rPr>
        <w:t xml:space="preserve"> </w:t>
      </w:r>
      <w:r w:rsidRPr="005E7B17">
        <w:rPr>
          <w:i/>
          <w:sz w:val="20"/>
          <w:szCs w:val="20"/>
        </w:rPr>
        <w:t xml:space="preserve">Code </w:t>
      </w:r>
      <w:r w:rsidRPr="005E7B17">
        <w:rPr>
          <w:sz w:val="20"/>
          <w:szCs w:val="20"/>
        </w:rPr>
        <w:t>(NT).</w:t>
      </w:r>
    </w:p>
  </w:footnote>
  <w:footnote w:id="7">
    <w:p w14:paraId="72CE9F24" w14:textId="231C5823"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i/>
          <w:color w:val="auto"/>
        </w:rPr>
        <w:t>R v</w:t>
      </w:r>
      <w:r w:rsidRPr="005E7B17">
        <w:rPr>
          <w:i/>
          <w:color w:val="auto"/>
          <w:spacing w:val="-1"/>
        </w:rPr>
        <w:t xml:space="preserve"> </w:t>
      </w:r>
      <w:r w:rsidRPr="005E7B17">
        <w:rPr>
          <w:i/>
          <w:color w:val="auto"/>
        </w:rPr>
        <w:t>Sexton</w:t>
      </w:r>
      <w:r w:rsidRPr="005E7B17">
        <w:rPr>
          <w:i/>
          <w:color w:val="auto"/>
          <w:spacing w:val="2"/>
        </w:rPr>
        <w:t xml:space="preserve"> </w:t>
      </w:r>
      <w:r w:rsidRPr="005E7B17">
        <w:rPr>
          <w:color w:val="auto"/>
        </w:rPr>
        <w:t>(2000)</w:t>
      </w:r>
      <w:r w:rsidRPr="005E7B17">
        <w:rPr>
          <w:color w:val="auto"/>
          <w:spacing w:val="-1"/>
        </w:rPr>
        <w:t xml:space="preserve"> </w:t>
      </w:r>
      <w:r w:rsidRPr="005E7B17">
        <w:rPr>
          <w:color w:val="auto"/>
        </w:rPr>
        <w:t>77 SASR 405</w:t>
      </w:r>
      <w:r w:rsidR="00E34801">
        <w:rPr>
          <w:color w:val="auto"/>
        </w:rPr>
        <w:t>,</w:t>
      </w:r>
      <w:r w:rsidRPr="005E7B17">
        <w:rPr>
          <w:color w:val="auto"/>
        </w:rPr>
        <w:t xml:space="preserve"> [37]–[40]</w:t>
      </w:r>
      <w:r w:rsidR="00E34801">
        <w:rPr>
          <w:color w:val="auto"/>
        </w:rPr>
        <w:t>.</w:t>
      </w:r>
    </w:p>
  </w:footnote>
  <w:footnote w:id="8">
    <w:p w14:paraId="7BBC1FCF" w14:textId="76005CAC"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w:t>
      </w:r>
      <w:r w:rsidRPr="005E7B17">
        <w:rPr>
          <w:i/>
          <w:sz w:val="20"/>
          <w:szCs w:val="20"/>
        </w:rPr>
        <w:t>Kesavarajah v</w:t>
      </w:r>
      <w:r w:rsidRPr="005E7B17">
        <w:rPr>
          <w:i/>
          <w:spacing w:val="-2"/>
          <w:sz w:val="20"/>
          <w:szCs w:val="20"/>
        </w:rPr>
        <w:t xml:space="preserve"> </w:t>
      </w:r>
      <w:r w:rsidRPr="005E7B17">
        <w:rPr>
          <w:i/>
          <w:sz w:val="20"/>
          <w:szCs w:val="20"/>
        </w:rPr>
        <w:t>The</w:t>
      </w:r>
      <w:r w:rsidRPr="005E7B17">
        <w:rPr>
          <w:i/>
          <w:spacing w:val="-1"/>
          <w:sz w:val="20"/>
          <w:szCs w:val="20"/>
        </w:rPr>
        <w:t xml:space="preserve"> </w:t>
      </w:r>
      <w:r w:rsidRPr="005E7B17">
        <w:rPr>
          <w:i/>
          <w:sz w:val="20"/>
          <w:szCs w:val="20"/>
        </w:rPr>
        <w:t>Queen</w:t>
      </w:r>
      <w:r w:rsidRPr="005E7B17">
        <w:rPr>
          <w:i/>
          <w:spacing w:val="1"/>
          <w:sz w:val="20"/>
          <w:szCs w:val="20"/>
        </w:rPr>
        <w:t xml:space="preserve"> </w:t>
      </w:r>
      <w:r w:rsidRPr="005E7B17">
        <w:rPr>
          <w:sz w:val="20"/>
          <w:szCs w:val="20"/>
        </w:rPr>
        <w:t>[1994]</w:t>
      </w:r>
      <w:r w:rsidRPr="005E7B17">
        <w:rPr>
          <w:spacing w:val="-4"/>
          <w:sz w:val="20"/>
          <w:szCs w:val="20"/>
        </w:rPr>
        <w:t xml:space="preserve"> </w:t>
      </w:r>
      <w:r w:rsidRPr="005E7B17">
        <w:rPr>
          <w:sz w:val="20"/>
          <w:szCs w:val="20"/>
        </w:rPr>
        <w:t>181</w:t>
      </w:r>
      <w:r w:rsidRPr="005E7B17">
        <w:rPr>
          <w:spacing w:val="-1"/>
          <w:sz w:val="20"/>
          <w:szCs w:val="20"/>
        </w:rPr>
        <w:t xml:space="preserve"> </w:t>
      </w:r>
      <w:r w:rsidRPr="005E7B17">
        <w:rPr>
          <w:sz w:val="20"/>
          <w:szCs w:val="20"/>
        </w:rPr>
        <w:t>CLR</w:t>
      </w:r>
      <w:r w:rsidRPr="005E7B17">
        <w:rPr>
          <w:spacing w:val="-1"/>
          <w:sz w:val="20"/>
          <w:szCs w:val="20"/>
        </w:rPr>
        <w:t xml:space="preserve"> </w:t>
      </w:r>
      <w:r w:rsidRPr="005E7B17">
        <w:rPr>
          <w:sz w:val="20"/>
          <w:szCs w:val="20"/>
        </w:rPr>
        <w:t>230</w:t>
      </w:r>
      <w:r w:rsidR="004518B2">
        <w:rPr>
          <w:spacing w:val="-2"/>
          <w:sz w:val="20"/>
          <w:szCs w:val="20"/>
        </w:rPr>
        <w:t>,</w:t>
      </w:r>
      <w:r w:rsidR="004518B2">
        <w:rPr>
          <w:sz w:val="20"/>
          <w:szCs w:val="20"/>
        </w:rPr>
        <w:t xml:space="preserve"> </w:t>
      </w:r>
      <w:r w:rsidRPr="005E7B17">
        <w:rPr>
          <w:sz w:val="20"/>
          <w:szCs w:val="20"/>
        </w:rPr>
        <w:t>243</w:t>
      </w:r>
      <w:r w:rsidR="006F15E1">
        <w:rPr>
          <w:sz w:val="20"/>
          <w:szCs w:val="20"/>
        </w:rPr>
        <w:t xml:space="preserve"> (‘</w:t>
      </w:r>
      <w:r w:rsidR="006F15E1" w:rsidRPr="00BF0AD5">
        <w:rPr>
          <w:b/>
          <w:bCs/>
          <w:i/>
          <w:iCs/>
          <w:sz w:val="20"/>
          <w:szCs w:val="20"/>
        </w:rPr>
        <w:t>Kesavarajah</w:t>
      </w:r>
      <w:r w:rsidR="006F15E1">
        <w:rPr>
          <w:sz w:val="20"/>
          <w:szCs w:val="20"/>
        </w:rPr>
        <w:t>’)</w:t>
      </w:r>
      <w:r w:rsidRPr="005E7B17">
        <w:rPr>
          <w:sz w:val="20"/>
          <w:szCs w:val="20"/>
        </w:rPr>
        <w:t>;</w:t>
      </w:r>
      <w:r w:rsidRPr="005E7B17">
        <w:rPr>
          <w:spacing w:val="-1"/>
          <w:sz w:val="20"/>
          <w:szCs w:val="20"/>
        </w:rPr>
        <w:t xml:space="preserve"> </w:t>
      </w:r>
      <w:r w:rsidRPr="005E7B17">
        <w:rPr>
          <w:i/>
          <w:sz w:val="20"/>
          <w:szCs w:val="20"/>
        </w:rPr>
        <w:t>R</w:t>
      </w:r>
      <w:r w:rsidRPr="005E7B17">
        <w:rPr>
          <w:i/>
          <w:spacing w:val="-1"/>
          <w:sz w:val="20"/>
          <w:szCs w:val="20"/>
        </w:rPr>
        <w:t xml:space="preserve"> </w:t>
      </w:r>
      <w:r w:rsidRPr="005E7B17">
        <w:rPr>
          <w:i/>
          <w:sz w:val="20"/>
          <w:szCs w:val="20"/>
        </w:rPr>
        <w:t>v</w:t>
      </w:r>
      <w:r w:rsidRPr="005E7B17">
        <w:rPr>
          <w:i/>
          <w:spacing w:val="-2"/>
          <w:sz w:val="20"/>
          <w:szCs w:val="20"/>
        </w:rPr>
        <w:t xml:space="preserve"> </w:t>
      </w:r>
      <w:r w:rsidRPr="005E7B17">
        <w:rPr>
          <w:i/>
          <w:sz w:val="20"/>
          <w:szCs w:val="20"/>
        </w:rPr>
        <w:t xml:space="preserve">Ogawa </w:t>
      </w:r>
      <w:r w:rsidRPr="005E7B17">
        <w:rPr>
          <w:sz w:val="20"/>
          <w:szCs w:val="20"/>
        </w:rPr>
        <w:t>[2009]</w:t>
      </w:r>
      <w:r w:rsidRPr="005E7B17">
        <w:rPr>
          <w:spacing w:val="-1"/>
          <w:sz w:val="20"/>
          <w:szCs w:val="20"/>
        </w:rPr>
        <w:t xml:space="preserve"> </w:t>
      </w:r>
      <w:r w:rsidRPr="005E7B17">
        <w:rPr>
          <w:sz w:val="20"/>
          <w:szCs w:val="20"/>
        </w:rPr>
        <w:t>QCA</w:t>
      </w:r>
      <w:r w:rsidRPr="005E7B17">
        <w:rPr>
          <w:spacing w:val="-3"/>
          <w:sz w:val="20"/>
          <w:szCs w:val="20"/>
        </w:rPr>
        <w:t xml:space="preserve"> </w:t>
      </w:r>
      <w:r w:rsidRPr="005E7B17">
        <w:rPr>
          <w:sz w:val="20"/>
          <w:szCs w:val="20"/>
        </w:rPr>
        <w:t>307;</w:t>
      </w:r>
      <w:r w:rsidRPr="005E7B17">
        <w:rPr>
          <w:spacing w:val="-2"/>
          <w:sz w:val="20"/>
          <w:szCs w:val="20"/>
        </w:rPr>
        <w:t xml:space="preserve"> </w:t>
      </w:r>
      <w:r w:rsidRPr="005E7B17">
        <w:rPr>
          <w:i/>
          <w:iCs/>
          <w:spacing w:val="-2"/>
          <w:sz w:val="20"/>
          <w:szCs w:val="20"/>
        </w:rPr>
        <w:t xml:space="preserve">R </w:t>
      </w:r>
      <w:r w:rsidRPr="005E7B17">
        <w:rPr>
          <w:i/>
          <w:sz w:val="20"/>
          <w:szCs w:val="20"/>
        </w:rPr>
        <w:t>(C</w:t>
      </w:r>
      <w:r w:rsidR="001F34BC">
        <w:rPr>
          <w:i/>
          <w:sz w:val="20"/>
          <w:szCs w:val="20"/>
        </w:rPr>
        <w:t>ommonweal</w:t>
      </w:r>
      <w:r w:rsidRPr="005E7B17">
        <w:rPr>
          <w:i/>
          <w:sz w:val="20"/>
          <w:szCs w:val="20"/>
        </w:rPr>
        <w:t>th)</w:t>
      </w:r>
      <w:r w:rsidRPr="005E7B17">
        <w:rPr>
          <w:i/>
          <w:spacing w:val="-1"/>
          <w:sz w:val="20"/>
          <w:szCs w:val="20"/>
        </w:rPr>
        <w:t xml:space="preserve"> </w:t>
      </w:r>
      <w:r w:rsidRPr="005E7B17">
        <w:rPr>
          <w:i/>
          <w:sz w:val="20"/>
          <w:szCs w:val="20"/>
        </w:rPr>
        <w:t>v</w:t>
      </w:r>
      <w:r w:rsidRPr="005E7B17">
        <w:rPr>
          <w:i/>
          <w:spacing w:val="-2"/>
          <w:sz w:val="20"/>
          <w:szCs w:val="20"/>
        </w:rPr>
        <w:t xml:space="preserve"> </w:t>
      </w:r>
      <w:r w:rsidRPr="005E7B17">
        <w:rPr>
          <w:i/>
          <w:sz w:val="20"/>
          <w:szCs w:val="20"/>
        </w:rPr>
        <w:t>Sharrouf</w:t>
      </w:r>
      <w:r w:rsidRPr="005E7B17">
        <w:rPr>
          <w:i/>
          <w:spacing w:val="-1"/>
          <w:sz w:val="20"/>
          <w:szCs w:val="20"/>
        </w:rPr>
        <w:t xml:space="preserve"> </w:t>
      </w:r>
      <w:r w:rsidR="001F34BC">
        <w:rPr>
          <w:i/>
          <w:sz w:val="20"/>
          <w:szCs w:val="20"/>
        </w:rPr>
        <w:t>(</w:t>
      </w:r>
      <w:r w:rsidRPr="005E7B17">
        <w:rPr>
          <w:i/>
          <w:sz w:val="20"/>
          <w:szCs w:val="20"/>
        </w:rPr>
        <w:t>No 2</w:t>
      </w:r>
      <w:r w:rsidR="001F34BC">
        <w:rPr>
          <w:i/>
          <w:sz w:val="20"/>
          <w:szCs w:val="20"/>
        </w:rPr>
        <w:t>)</w:t>
      </w:r>
      <w:r w:rsidRPr="005E7B17">
        <w:rPr>
          <w:i/>
          <w:spacing w:val="1"/>
          <w:sz w:val="20"/>
          <w:szCs w:val="20"/>
        </w:rPr>
        <w:t xml:space="preserve"> </w:t>
      </w:r>
      <w:r w:rsidRPr="005E7B17">
        <w:rPr>
          <w:sz w:val="20"/>
          <w:szCs w:val="20"/>
        </w:rPr>
        <w:t>[2008]</w:t>
      </w:r>
      <w:r w:rsidRPr="005E7B17">
        <w:rPr>
          <w:spacing w:val="-1"/>
          <w:sz w:val="20"/>
          <w:szCs w:val="20"/>
        </w:rPr>
        <w:t xml:space="preserve"> </w:t>
      </w:r>
      <w:r w:rsidRPr="005E7B17">
        <w:rPr>
          <w:sz w:val="20"/>
          <w:szCs w:val="20"/>
        </w:rPr>
        <w:t>NSWSC 1450</w:t>
      </w:r>
      <w:r w:rsidR="002234ED">
        <w:rPr>
          <w:sz w:val="20"/>
          <w:szCs w:val="20"/>
        </w:rPr>
        <w:t xml:space="preserve"> (‘</w:t>
      </w:r>
      <w:r w:rsidR="002234ED" w:rsidRPr="00BF0AD5">
        <w:rPr>
          <w:b/>
          <w:bCs/>
          <w:i/>
          <w:iCs/>
          <w:sz w:val="20"/>
          <w:szCs w:val="20"/>
        </w:rPr>
        <w:t>Sharrouf (No 2)</w:t>
      </w:r>
      <w:r w:rsidR="002234ED">
        <w:rPr>
          <w:i/>
          <w:iCs/>
          <w:sz w:val="20"/>
          <w:szCs w:val="20"/>
        </w:rPr>
        <w:t>’</w:t>
      </w:r>
      <w:r w:rsidR="002234ED">
        <w:rPr>
          <w:sz w:val="20"/>
          <w:szCs w:val="20"/>
        </w:rPr>
        <w:t>)</w:t>
      </w:r>
      <w:r w:rsidRPr="005E7B17">
        <w:rPr>
          <w:sz w:val="20"/>
          <w:szCs w:val="20"/>
        </w:rPr>
        <w:t>.</w:t>
      </w:r>
    </w:p>
  </w:footnote>
  <w:footnote w:id="9">
    <w:p w14:paraId="7B1D5297" w14:textId="14CBB01D"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All references in this NLD are to </w:t>
      </w:r>
      <w:r w:rsidR="001F34BC">
        <w:rPr>
          <w:color w:val="auto"/>
        </w:rPr>
        <w:t xml:space="preserve">a </w:t>
      </w:r>
      <w:r w:rsidRPr="005E7B17">
        <w:rPr>
          <w:color w:val="auto"/>
        </w:rPr>
        <w:t xml:space="preserve">‘person’, as opposed to </w:t>
      </w:r>
      <w:r w:rsidR="001F34BC">
        <w:rPr>
          <w:color w:val="auto"/>
        </w:rPr>
        <w:t xml:space="preserve">the </w:t>
      </w:r>
      <w:r w:rsidRPr="005E7B17">
        <w:rPr>
          <w:color w:val="auto"/>
        </w:rPr>
        <w:t>‘defendant’</w:t>
      </w:r>
      <w:r w:rsidR="001F34BC">
        <w:rPr>
          <w:color w:val="auto"/>
        </w:rPr>
        <w:t xml:space="preserve"> or</w:t>
      </w:r>
      <w:r w:rsidR="00BF0AD5">
        <w:rPr>
          <w:color w:val="auto"/>
        </w:rPr>
        <w:t xml:space="preserve"> </w:t>
      </w:r>
      <w:r w:rsidRPr="005E7B17">
        <w:rPr>
          <w:color w:val="auto"/>
        </w:rPr>
        <w:t xml:space="preserve">’accused’. This is consistent with the language used in Part </w:t>
      </w:r>
      <w:r w:rsidR="000406DC">
        <w:rPr>
          <w:color w:val="auto"/>
        </w:rPr>
        <w:t>I</w:t>
      </w:r>
      <w:r w:rsidRPr="005E7B17">
        <w:rPr>
          <w:color w:val="auto"/>
        </w:rPr>
        <w:t>B</w:t>
      </w:r>
      <w:r w:rsidRPr="005E7B17">
        <w:rPr>
          <w:color w:val="auto"/>
          <w:spacing w:val="-38"/>
        </w:rPr>
        <w:t xml:space="preserve">    </w:t>
      </w:r>
      <w:r w:rsidRPr="005E7B17">
        <w:rPr>
          <w:color w:val="auto"/>
        </w:rPr>
        <w:t>of</w:t>
      </w:r>
      <w:r w:rsidRPr="005E7B17">
        <w:rPr>
          <w:color w:val="auto"/>
          <w:spacing w:val="-1"/>
        </w:rPr>
        <w:t xml:space="preserve"> </w:t>
      </w:r>
      <w:r w:rsidRPr="005E7B17">
        <w:rPr>
          <w:color w:val="auto"/>
        </w:rPr>
        <w:t>the</w:t>
      </w:r>
      <w:r w:rsidRPr="005E7B17">
        <w:rPr>
          <w:color w:val="auto"/>
          <w:spacing w:val="-1"/>
        </w:rPr>
        <w:t xml:space="preserve"> </w:t>
      </w:r>
      <w:r w:rsidR="001F34BC" w:rsidRPr="00BF0AD5">
        <w:rPr>
          <w:i/>
          <w:iCs/>
          <w:color w:val="auto"/>
          <w:spacing w:val="-1"/>
        </w:rPr>
        <w:t xml:space="preserve">Crimes </w:t>
      </w:r>
      <w:r w:rsidRPr="00BF0AD5">
        <w:rPr>
          <w:i/>
          <w:iCs/>
          <w:color w:val="auto"/>
        </w:rPr>
        <w:t>Act</w:t>
      </w:r>
      <w:r w:rsidRPr="005E7B17">
        <w:rPr>
          <w:color w:val="auto"/>
        </w:rPr>
        <w:t xml:space="preserve"> (‘person’).</w:t>
      </w:r>
    </w:p>
  </w:footnote>
  <w:footnote w:id="10">
    <w:p w14:paraId="2EF65794" w14:textId="13BD41F6" w:rsidR="009F40F1" w:rsidRPr="005E7B17" w:rsidRDefault="009F40F1" w:rsidP="009F40F1">
      <w:pPr>
        <w:spacing w:before="0" w:line="240" w:lineRule="auto"/>
        <w:ind w:right="1144"/>
        <w:rPr>
          <w:sz w:val="20"/>
          <w:szCs w:val="20"/>
        </w:rPr>
      </w:pPr>
      <w:r w:rsidRPr="005E7B17">
        <w:rPr>
          <w:rStyle w:val="FootnoteReference"/>
          <w:sz w:val="20"/>
          <w:szCs w:val="20"/>
        </w:rPr>
        <w:footnoteRef/>
      </w:r>
      <w:r w:rsidRPr="005E7B17">
        <w:rPr>
          <w:sz w:val="20"/>
          <w:szCs w:val="20"/>
        </w:rPr>
        <w:t xml:space="preserve"> However, Prosecutors should always consult their Prosecution Team Leader or Branch Head for guidance where the question of</w:t>
      </w:r>
      <w:r w:rsidR="001F34BC">
        <w:rPr>
          <w:sz w:val="20"/>
          <w:szCs w:val="20"/>
        </w:rPr>
        <w:t xml:space="preserve"> </w:t>
      </w:r>
      <w:r w:rsidRPr="005E7B17">
        <w:rPr>
          <w:spacing w:val="-38"/>
          <w:sz w:val="20"/>
          <w:szCs w:val="20"/>
        </w:rPr>
        <w:t xml:space="preserve"> </w:t>
      </w:r>
      <w:r w:rsidRPr="005E7B17">
        <w:rPr>
          <w:sz w:val="20"/>
          <w:szCs w:val="20"/>
        </w:rPr>
        <w:t>fitness arises at committal. Note also that the Decision Making Matrix decisions to discontinue the proceeding after committal</w:t>
      </w:r>
      <w:r w:rsidRPr="005E7B17">
        <w:rPr>
          <w:spacing w:val="1"/>
          <w:sz w:val="20"/>
          <w:szCs w:val="20"/>
        </w:rPr>
        <w:t xml:space="preserve"> </w:t>
      </w:r>
      <w:r w:rsidRPr="005E7B17">
        <w:rPr>
          <w:sz w:val="20"/>
          <w:szCs w:val="20"/>
        </w:rPr>
        <w:t>(</w:t>
      </w:r>
      <w:r w:rsidR="001F34BC">
        <w:rPr>
          <w:sz w:val="20"/>
          <w:szCs w:val="20"/>
        </w:rPr>
        <w:t xml:space="preserve">DMM </w:t>
      </w:r>
      <w:r w:rsidRPr="005E7B17">
        <w:rPr>
          <w:sz w:val="20"/>
          <w:szCs w:val="20"/>
        </w:rPr>
        <w:t>4.6),</w:t>
      </w:r>
      <w:r w:rsidRPr="005E7B17">
        <w:rPr>
          <w:spacing w:val="-1"/>
          <w:sz w:val="20"/>
          <w:szCs w:val="20"/>
        </w:rPr>
        <w:t xml:space="preserve"> </w:t>
      </w:r>
      <w:r w:rsidRPr="005E7B17">
        <w:rPr>
          <w:sz w:val="20"/>
          <w:szCs w:val="20"/>
        </w:rPr>
        <w:t>and</w:t>
      </w:r>
      <w:r w:rsidRPr="005E7B17">
        <w:rPr>
          <w:spacing w:val="-1"/>
          <w:sz w:val="20"/>
          <w:szCs w:val="20"/>
        </w:rPr>
        <w:t xml:space="preserve"> </w:t>
      </w:r>
      <w:r w:rsidRPr="005E7B17">
        <w:rPr>
          <w:sz w:val="20"/>
          <w:szCs w:val="20"/>
        </w:rPr>
        <w:t>approval to retain</w:t>
      </w:r>
      <w:r w:rsidRPr="005E7B17">
        <w:rPr>
          <w:spacing w:val="-1"/>
          <w:sz w:val="20"/>
          <w:szCs w:val="20"/>
        </w:rPr>
        <w:t xml:space="preserve"> </w:t>
      </w:r>
      <w:r w:rsidRPr="005E7B17">
        <w:rPr>
          <w:sz w:val="20"/>
          <w:szCs w:val="20"/>
        </w:rPr>
        <w:t>an</w:t>
      </w:r>
      <w:r w:rsidRPr="005E7B17">
        <w:rPr>
          <w:spacing w:val="1"/>
          <w:sz w:val="20"/>
          <w:szCs w:val="20"/>
        </w:rPr>
        <w:t xml:space="preserve"> </w:t>
      </w:r>
      <w:r w:rsidRPr="005E7B17">
        <w:rPr>
          <w:sz w:val="20"/>
          <w:szCs w:val="20"/>
        </w:rPr>
        <w:t>expert</w:t>
      </w:r>
      <w:r w:rsidRPr="005E7B17">
        <w:rPr>
          <w:spacing w:val="-1"/>
          <w:sz w:val="20"/>
          <w:szCs w:val="20"/>
        </w:rPr>
        <w:t xml:space="preserve"> </w:t>
      </w:r>
      <w:r w:rsidRPr="005E7B17">
        <w:rPr>
          <w:sz w:val="20"/>
          <w:szCs w:val="20"/>
        </w:rPr>
        <w:t>witness</w:t>
      </w:r>
      <w:r w:rsidRPr="005E7B17">
        <w:rPr>
          <w:spacing w:val="-1"/>
          <w:sz w:val="20"/>
          <w:szCs w:val="20"/>
        </w:rPr>
        <w:t xml:space="preserve"> </w:t>
      </w:r>
      <w:r w:rsidRPr="005E7B17">
        <w:rPr>
          <w:sz w:val="20"/>
          <w:szCs w:val="20"/>
        </w:rPr>
        <w:t>(</w:t>
      </w:r>
      <w:r w:rsidR="001F34BC">
        <w:rPr>
          <w:sz w:val="20"/>
          <w:szCs w:val="20"/>
        </w:rPr>
        <w:t xml:space="preserve">DMM </w:t>
      </w:r>
      <w:r w:rsidRPr="005E7B17">
        <w:rPr>
          <w:sz w:val="20"/>
          <w:szCs w:val="20"/>
        </w:rPr>
        <w:t>4.22), may</w:t>
      </w:r>
      <w:r w:rsidRPr="005E7B17">
        <w:rPr>
          <w:spacing w:val="-1"/>
          <w:sz w:val="20"/>
          <w:szCs w:val="20"/>
        </w:rPr>
        <w:t xml:space="preserve"> </w:t>
      </w:r>
      <w:r w:rsidRPr="005E7B17">
        <w:rPr>
          <w:sz w:val="20"/>
          <w:szCs w:val="20"/>
        </w:rPr>
        <w:t>be</w:t>
      </w:r>
      <w:r w:rsidRPr="005E7B17">
        <w:rPr>
          <w:spacing w:val="-1"/>
          <w:sz w:val="20"/>
          <w:szCs w:val="20"/>
        </w:rPr>
        <w:t xml:space="preserve"> </w:t>
      </w:r>
      <w:r w:rsidRPr="005E7B17">
        <w:rPr>
          <w:sz w:val="20"/>
          <w:szCs w:val="20"/>
        </w:rPr>
        <w:t>relevant.</w:t>
      </w:r>
    </w:p>
  </w:footnote>
  <w:footnote w:id="11">
    <w:p w14:paraId="7A918871" w14:textId="56096041"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This includes after conviction and prior to sentence. However, once the court is </w:t>
      </w:r>
      <w:r w:rsidRPr="005E7B17">
        <w:rPr>
          <w:i/>
          <w:color w:val="auto"/>
        </w:rPr>
        <w:t xml:space="preserve">functus officio </w:t>
      </w:r>
      <w:r w:rsidRPr="005E7B17">
        <w:rPr>
          <w:color w:val="auto"/>
        </w:rPr>
        <w:t>of the proceedings, the questio</w:t>
      </w:r>
      <w:r w:rsidR="00E34801">
        <w:rPr>
          <w:color w:val="auto"/>
        </w:rPr>
        <w:t xml:space="preserve">n </w:t>
      </w:r>
      <w:r w:rsidRPr="005E7B17">
        <w:rPr>
          <w:color w:val="auto"/>
          <w:u w:val="single" w:color="404040"/>
        </w:rPr>
        <w:t>cannot</w:t>
      </w:r>
      <w:r w:rsidRPr="005E7B17">
        <w:rPr>
          <w:color w:val="auto"/>
        </w:rPr>
        <w:t xml:space="preserve"> be raised. </w:t>
      </w:r>
      <w:r w:rsidR="001F34BC" w:rsidRPr="005E7B17">
        <w:rPr>
          <w:color w:val="auto"/>
        </w:rPr>
        <w:t>Also note</w:t>
      </w:r>
      <w:r w:rsidRPr="005E7B17">
        <w:rPr>
          <w:color w:val="auto"/>
        </w:rPr>
        <w:t xml:space="preserve"> that, where there has been no issue of the person's fitness to be tried</w:t>
      </w:r>
      <w:r w:rsidR="001F34BC">
        <w:rPr>
          <w:color w:val="auto"/>
        </w:rPr>
        <w:t xml:space="preserve"> at trial</w:t>
      </w:r>
      <w:r w:rsidRPr="005E7B17">
        <w:rPr>
          <w:color w:val="auto"/>
        </w:rPr>
        <w:t>, an appeal court will</w:t>
      </w:r>
      <w:r w:rsidRPr="005E7B17">
        <w:rPr>
          <w:color w:val="auto"/>
          <w:spacing w:val="1"/>
        </w:rPr>
        <w:t xml:space="preserve"> </w:t>
      </w:r>
      <w:r w:rsidRPr="005E7B17">
        <w:rPr>
          <w:color w:val="auto"/>
        </w:rPr>
        <w:t>generally</w:t>
      </w:r>
      <w:r w:rsidRPr="005E7B17">
        <w:rPr>
          <w:color w:val="auto"/>
          <w:spacing w:val="-1"/>
        </w:rPr>
        <w:t xml:space="preserve"> </w:t>
      </w:r>
      <w:r w:rsidRPr="005E7B17">
        <w:rPr>
          <w:color w:val="auto"/>
        </w:rPr>
        <w:t>not entertain</w:t>
      </w:r>
      <w:r w:rsidRPr="005E7B17">
        <w:rPr>
          <w:color w:val="auto"/>
          <w:spacing w:val="-1"/>
        </w:rPr>
        <w:t xml:space="preserve"> </w:t>
      </w:r>
      <w:r w:rsidRPr="005E7B17">
        <w:rPr>
          <w:color w:val="auto"/>
        </w:rPr>
        <w:t>such</w:t>
      </w:r>
      <w:r w:rsidRPr="005E7B17">
        <w:rPr>
          <w:color w:val="auto"/>
          <w:spacing w:val="-1"/>
        </w:rPr>
        <w:t xml:space="preserve"> </w:t>
      </w:r>
      <w:r w:rsidRPr="005E7B17">
        <w:rPr>
          <w:color w:val="auto"/>
        </w:rPr>
        <w:t>a</w:t>
      </w:r>
      <w:r w:rsidRPr="005E7B17">
        <w:rPr>
          <w:color w:val="auto"/>
          <w:spacing w:val="-1"/>
        </w:rPr>
        <w:t xml:space="preserve"> </w:t>
      </w:r>
      <w:r w:rsidRPr="005E7B17">
        <w:rPr>
          <w:color w:val="auto"/>
        </w:rPr>
        <w:t>ground</w:t>
      </w:r>
      <w:r w:rsidR="00BF0AD5">
        <w:rPr>
          <w:color w:val="auto"/>
        </w:rPr>
        <w:t xml:space="preserve">. See, </w:t>
      </w:r>
      <w:proofErr w:type="spellStart"/>
      <w:r w:rsidR="00BF0AD5">
        <w:rPr>
          <w:color w:val="auto"/>
        </w:rPr>
        <w:t>eg</w:t>
      </w:r>
      <w:proofErr w:type="spellEnd"/>
      <w:r w:rsidR="00BF0AD5">
        <w:rPr>
          <w:color w:val="auto"/>
        </w:rPr>
        <w:t>,</w:t>
      </w:r>
      <w:r w:rsidRPr="005E7B17">
        <w:rPr>
          <w:color w:val="auto"/>
        </w:rPr>
        <w:t xml:space="preserve"> </w:t>
      </w:r>
      <w:r w:rsidRPr="005E7B17">
        <w:rPr>
          <w:i/>
          <w:color w:val="auto"/>
        </w:rPr>
        <w:t>Eastman v</w:t>
      </w:r>
      <w:r w:rsidRPr="005E7B17">
        <w:rPr>
          <w:i/>
          <w:color w:val="auto"/>
          <w:spacing w:val="-1"/>
        </w:rPr>
        <w:t xml:space="preserve"> </w:t>
      </w:r>
      <w:r w:rsidRPr="005E7B17">
        <w:rPr>
          <w:i/>
          <w:color w:val="auto"/>
        </w:rPr>
        <w:t xml:space="preserve">The Queen </w:t>
      </w:r>
      <w:r w:rsidRPr="005E7B17">
        <w:rPr>
          <w:color w:val="auto"/>
        </w:rPr>
        <w:t>(2000)</w:t>
      </w:r>
      <w:r w:rsidRPr="005E7B17">
        <w:rPr>
          <w:color w:val="auto"/>
          <w:spacing w:val="-1"/>
        </w:rPr>
        <w:t xml:space="preserve"> </w:t>
      </w:r>
      <w:r w:rsidRPr="005E7B17">
        <w:rPr>
          <w:color w:val="auto"/>
        </w:rPr>
        <w:t>203 CLR 1</w:t>
      </w:r>
      <w:r w:rsidR="001E54E0">
        <w:rPr>
          <w:color w:val="auto"/>
        </w:rPr>
        <w:t xml:space="preserve"> (‘</w:t>
      </w:r>
      <w:r w:rsidR="001E54E0" w:rsidRPr="00BF0AD5">
        <w:rPr>
          <w:b/>
          <w:bCs/>
          <w:i/>
          <w:iCs/>
          <w:color w:val="auto"/>
        </w:rPr>
        <w:t>Eastman</w:t>
      </w:r>
      <w:r w:rsidR="001E54E0">
        <w:rPr>
          <w:color w:val="auto"/>
        </w:rPr>
        <w:t>’)</w:t>
      </w:r>
      <w:r w:rsidR="001F34BC">
        <w:rPr>
          <w:color w:val="auto"/>
        </w:rPr>
        <w:t>.</w:t>
      </w:r>
    </w:p>
  </w:footnote>
  <w:footnote w:id="12">
    <w:p w14:paraId="3C2C3DA1" w14:textId="3CF6029C"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See</w:t>
      </w:r>
      <w:r w:rsidR="006F15E1">
        <w:rPr>
          <w:color w:val="auto"/>
        </w:rPr>
        <w:t xml:space="preserve"> </w:t>
      </w:r>
      <w:r w:rsidRPr="005E7B17">
        <w:rPr>
          <w:i/>
          <w:color w:val="auto"/>
        </w:rPr>
        <w:t>Kesavarajah</w:t>
      </w:r>
      <w:r w:rsidRPr="005E7B17">
        <w:rPr>
          <w:i/>
          <w:color w:val="auto"/>
          <w:spacing w:val="-1"/>
        </w:rPr>
        <w:t xml:space="preserve"> </w:t>
      </w:r>
      <w:r w:rsidR="00D60426">
        <w:rPr>
          <w:color w:val="auto"/>
        </w:rPr>
        <w:t>(n 8) 245.</w:t>
      </w:r>
    </w:p>
  </w:footnote>
  <w:footnote w:id="13">
    <w:p w14:paraId="78ACE797" w14:textId="1263A113" w:rsidR="00D60426" w:rsidRPr="00BF0AD5" w:rsidRDefault="00D60426">
      <w:pPr>
        <w:pStyle w:val="FootnoteText"/>
        <w:rPr>
          <w:rFonts w:asciiTheme="minorHAnsi" w:hAnsiTheme="minorHAnsi" w:cstheme="minorHAnsi"/>
        </w:rPr>
      </w:pPr>
      <w:r w:rsidRPr="00BF0AD5">
        <w:rPr>
          <w:rStyle w:val="FootnoteReference"/>
          <w:rFonts w:asciiTheme="minorHAnsi" w:hAnsiTheme="minorHAnsi" w:cstheme="minorHAnsi"/>
          <w:color w:val="auto"/>
        </w:rPr>
        <w:footnoteRef/>
      </w:r>
      <w:r w:rsidRPr="00BF0AD5">
        <w:rPr>
          <w:rFonts w:asciiTheme="minorHAnsi" w:hAnsiTheme="minorHAnsi" w:cstheme="minorHAnsi"/>
          <w:color w:val="auto"/>
        </w:rPr>
        <w:t xml:space="preserve"> </w:t>
      </w:r>
      <w:r w:rsidRPr="00BF0AD5">
        <w:rPr>
          <w:rFonts w:asciiTheme="minorHAnsi" w:hAnsiTheme="minorHAnsi" w:cstheme="minorHAnsi"/>
          <w:i/>
          <w:color w:val="auto"/>
        </w:rPr>
        <w:t>Crimes Act</w:t>
      </w:r>
      <w:r w:rsidR="00091E0C" w:rsidRPr="00BF0AD5">
        <w:rPr>
          <w:rFonts w:asciiTheme="minorHAnsi" w:hAnsiTheme="minorHAnsi" w:cstheme="minorHAnsi"/>
          <w:i/>
          <w:color w:val="auto"/>
        </w:rPr>
        <w:t xml:space="preserve"> </w:t>
      </w:r>
      <w:r w:rsidR="00091E0C" w:rsidRPr="00BF0AD5">
        <w:rPr>
          <w:rFonts w:asciiTheme="minorHAnsi" w:hAnsiTheme="minorHAnsi" w:cstheme="minorHAnsi"/>
          <w:iCs/>
          <w:color w:val="auto"/>
        </w:rPr>
        <w:t>(n 1) s 20B(1).</w:t>
      </w:r>
    </w:p>
  </w:footnote>
  <w:footnote w:id="14">
    <w:p w14:paraId="498EA3DF" w14:textId="0A82BD55" w:rsidR="009F40F1" w:rsidRPr="005E7B17" w:rsidRDefault="009F40F1" w:rsidP="009F40F1">
      <w:pPr>
        <w:spacing w:before="0" w:line="240" w:lineRule="auto"/>
        <w:ind w:right="1170"/>
        <w:rPr>
          <w:sz w:val="20"/>
          <w:szCs w:val="20"/>
        </w:rPr>
      </w:pPr>
      <w:r w:rsidRPr="005E7B17">
        <w:rPr>
          <w:rStyle w:val="FootnoteReference"/>
          <w:sz w:val="20"/>
          <w:szCs w:val="20"/>
        </w:rPr>
        <w:footnoteRef/>
      </w:r>
      <w:r w:rsidRPr="005E7B17">
        <w:rPr>
          <w:sz w:val="20"/>
          <w:szCs w:val="20"/>
        </w:rPr>
        <w:t xml:space="preserve"> For example, in Victoria the judge must find that there is a ‘real and substantial question or issue’ as to the person’s fitness,</w:t>
      </w:r>
      <w:r w:rsidRPr="005E7B17">
        <w:rPr>
          <w:spacing w:val="1"/>
          <w:sz w:val="20"/>
          <w:szCs w:val="20"/>
        </w:rPr>
        <w:t xml:space="preserve"> </w:t>
      </w:r>
      <w:r w:rsidRPr="005E7B17">
        <w:rPr>
          <w:sz w:val="20"/>
          <w:szCs w:val="20"/>
        </w:rPr>
        <w:t xml:space="preserve">before a </w:t>
      </w:r>
      <w:r w:rsidR="001E54E0">
        <w:rPr>
          <w:sz w:val="20"/>
          <w:szCs w:val="20"/>
        </w:rPr>
        <w:t>j</w:t>
      </w:r>
      <w:r w:rsidRPr="005E7B17">
        <w:rPr>
          <w:sz w:val="20"/>
          <w:szCs w:val="20"/>
        </w:rPr>
        <w:t xml:space="preserve">ury can be empanelled to decide fitness. The purpose of this threshold test is to prevent matters where there is no </w:t>
      </w:r>
      <w:r w:rsidR="001E54E0">
        <w:rPr>
          <w:spacing w:val="-2"/>
          <w:sz w:val="20"/>
          <w:szCs w:val="20"/>
        </w:rPr>
        <w:t xml:space="preserve">real issue </w:t>
      </w:r>
      <w:r w:rsidRPr="005E7B17">
        <w:rPr>
          <w:sz w:val="20"/>
          <w:szCs w:val="20"/>
        </w:rPr>
        <w:t>of</w:t>
      </w:r>
      <w:r w:rsidRPr="005E7B17">
        <w:rPr>
          <w:spacing w:val="-1"/>
          <w:sz w:val="20"/>
          <w:szCs w:val="20"/>
        </w:rPr>
        <w:t xml:space="preserve"> </w:t>
      </w:r>
      <w:r w:rsidRPr="005E7B17">
        <w:rPr>
          <w:sz w:val="20"/>
          <w:szCs w:val="20"/>
        </w:rPr>
        <w:t>fitness</w:t>
      </w:r>
      <w:r w:rsidRPr="005E7B17">
        <w:rPr>
          <w:spacing w:val="-2"/>
          <w:sz w:val="20"/>
          <w:szCs w:val="20"/>
        </w:rPr>
        <w:t xml:space="preserve"> </w:t>
      </w:r>
      <w:r w:rsidRPr="005E7B17">
        <w:rPr>
          <w:sz w:val="20"/>
          <w:szCs w:val="20"/>
        </w:rPr>
        <w:t>to</w:t>
      </w:r>
      <w:r w:rsidRPr="005E7B17">
        <w:rPr>
          <w:spacing w:val="2"/>
          <w:sz w:val="20"/>
          <w:szCs w:val="20"/>
        </w:rPr>
        <w:t xml:space="preserve"> </w:t>
      </w:r>
      <w:r w:rsidRPr="005E7B17">
        <w:rPr>
          <w:sz w:val="20"/>
          <w:szCs w:val="20"/>
        </w:rPr>
        <w:t>be</w:t>
      </w:r>
      <w:r w:rsidRPr="005E7B17">
        <w:rPr>
          <w:spacing w:val="-2"/>
          <w:sz w:val="20"/>
          <w:szCs w:val="20"/>
        </w:rPr>
        <w:t xml:space="preserve"> </w:t>
      </w:r>
      <w:r w:rsidRPr="005E7B17">
        <w:rPr>
          <w:sz w:val="20"/>
          <w:szCs w:val="20"/>
        </w:rPr>
        <w:t>tried</w:t>
      </w:r>
      <w:r w:rsidRPr="005E7B17">
        <w:rPr>
          <w:spacing w:val="-1"/>
          <w:sz w:val="20"/>
          <w:szCs w:val="20"/>
        </w:rPr>
        <w:t xml:space="preserve"> </w:t>
      </w:r>
      <w:r w:rsidRPr="005E7B17">
        <w:rPr>
          <w:sz w:val="20"/>
          <w:szCs w:val="20"/>
        </w:rPr>
        <w:t>at</w:t>
      </w:r>
      <w:r w:rsidRPr="005E7B17">
        <w:rPr>
          <w:spacing w:val="-2"/>
          <w:sz w:val="20"/>
          <w:szCs w:val="20"/>
        </w:rPr>
        <w:t xml:space="preserve"> </w:t>
      </w:r>
      <w:r w:rsidRPr="005E7B17">
        <w:rPr>
          <w:sz w:val="20"/>
          <w:szCs w:val="20"/>
        </w:rPr>
        <w:t>play,</w:t>
      </w:r>
      <w:r w:rsidRPr="005E7B17">
        <w:rPr>
          <w:spacing w:val="1"/>
          <w:sz w:val="20"/>
          <w:szCs w:val="20"/>
        </w:rPr>
        <w:t xml:space="preserve"> </w:t>
      </w:r>
      <w:r w:rsidRPr="005E7B17">
        <w:rPr>
          <w:sz w:val="20"/>
          <w:szCs w:val="20"/>
        </w:rPr>
        <w:t>from unnecessarily proceeding</w:t>
      </w:r>
      <w:r w:rsidRPr="005E7B17">
        <w:rPr>
          <w:spacing w:val="-2"/>
          <w:sz w:val="20"/>
          <w:szCs w:val="20"/>
        </w:rPr>
        <w:t xml:space="preserve"> </w:t>
      </w:r>
      <w:r w:rsidRPr="005E7B17">
        <w:rPr>
          <w:sz w:val="20"/>
          <w:szCs w:val="20"/>
        </w:rPr>
        <w:t>to full</w:t>
      </w:r>
      <w:r w:rsidRPr="005E7B17">
        <w:rPr>
          <w:spacing w:val="-2"/>
          <w:sz w:val="20"/>
          <w:szCs w:val="20"/>
        </w:rPr>
        <w:t xml:space="preserve"> </w:t>
      </w:r>
      <w:r w:rsidRPr="005E7B17">
        <w:rPr>
          <w:sz w:val="20"/>
          <w:szCs w:val="20"/>
        </w:rPr>
        <w:t>fitness</w:t>
      </w:r>
      <w:r w:rsidRPr="005E7B17">
        <w:rPr>
          <w:spacing w:val="-1"/>
          <w:sz w:val="20"/>
          <w:szCs w:val="20"/>
        </w:rPr>
        <w:t xml:space="preserve"> </w:t>
      </w:r>
      <w:r w:rsidRPr="005E7B17">
        <w:rPr>
          <w:sz w:val="20"/>
          <w:szCs w:val="20"/>
        </w:rPr>
        <w:t>hearing</w:t>
      </w:r>
      <w:r w:rsidRPr="005E7B17">
        <w:rPr>
          <w:spacing w:val="-2"/>
          <w:sz w:val="20"/>
          <w:szCs w:val="20"/>
        </w:rPr>
        <w:t xml:space="preserve"> </w:t>
      </w:r>
      <w:r w:rsidRPr="005E7B17">
        <w:rPr>
          <w:sz w:val="20"/>
          <w:szCs w:val="20"/>
        </w:rPr>
        <w:t>before</w:t>
      </w:r>
      <w:r w:rsidRPr="005E7B17">
        <w:rPr>
          <w:spacing w:val="1"/>
          <w:sz w:val="20"/>
          <w:szCs w:val="20"/>
        </w:rPr>
        <w:t xml:space="preserve"> </w:t>
      </w:r>
      <w:r w:rsidRPr="005E7B17">
        <w:rPr>
          <w:sz w:val="20"/>
          <w:szCs w:val="20"/>
        </w:rPr>
        <w:t>judge</w:t>
      </w:r>
      <w:r w:rsidRPr="005E7B17">
        <w:rPr>
          <w:spacing w:val="-2"/>
          <w:sz w:val="20"/>
          <w:szCs w:val="20"/>
        </w:rPr>
        <w:t xml:space="preserve"> </w:t>
      </w:r>
      <w:r w:rsidRPr="005E7B17">
        <w:rPr>
          <w:sz w:val="20"/>
          <w:szCs w:val="20"/>
        </w:rPr>
        <w:t xml:space="preserve">or </w:t>
      </w:r>
      <w:r w:rsidR="001E54E0">
        <w:rPr>
          <w:sz w:val="20"/>
          <w:szCs w:val="20"/>
        </w:rPr>
        <w:t>j</w:t>
      </w:r>
      <w:r w:rsidRPr="005E7B17">
        <w:rPr>
          <w:sz w:val="20"/>
          <w:szCs w:val="20"/>
        </w:rPr>
        <w:t>ury.</w:t>
      </w:r>
    </w:p>
  </w:footnote>
  <w:footnote w:id="15">
    <w:p w14:paraId="00316FDE" w14:textId="4CE214CC" w:rsidR="009F40F1" w:rsidRPr="005E7B17" w:rsidRDefault="009F40F1" w:rsidP="009F40F1">
      <w:pPr>
        <w:spacing w:before="0" w:line="240" w:lineRule="auto"/>
        <w:ind w:right="1004"/>
        <w:rPr>
          <w:sz w:val="20"/>
          <w:szCs w:val="20"/>
        </w:rPr>
      </w:pPr>
      <w:r w:rsidRPr="005E7B17">
        <w:rPr>
          <w:rStyle w:val="FootnoteReference"/>
          <w:sz w:val="20"/>
          <w:szCs w:val="20"/>
        </w:rPr>
        <w:footnoteRef/>
      </w:r>
      <w:r w:rsidRPr="005E7B17">
        <w:rPr>
          <w:sz w:val="20"/>
          <w:szCs w:val="20"/>
        </w:rPr>
        <w:t xml:space="preserve"> In </w:t>
      </w:r>
      <w:r w:rsidRPr="005E7B17">
        <w:rPr>
          <w:i/>
          <w:sz w:val="20"/>
          <w:szCs w:val="20"/>
        </w:rPr>
        <w:t>Eastman</w:t>
      </w:r>
      <w:r w:rsidR="006243FB">
        <w:rPr>
          <w:i/>
          <w:sz w:val="20"/>
          <w:szCs w:val="20"/>
        </w:rPr>
        <w:t xml:space="preserve"> </w:t>
      </w:r>
      <w:r w:rsidR="006243FB">
        <w:rPr>
          <w:iCs/>
          <w:sz w:val="20"/>
          <w:szCs w:val="20"/>
        </w:rPr>
        <w:t>(n 11)</w:t>
      </w:r>
      <w:r w:rsidRPr="005E7B17">
        <w:rPr>
          <w:sz w:val="20"/>
          <w:szCs w:val="20"/>
        </w:rPr>
        <w:t>, the Court considered Australian Capital Territory procedure.</w:t>
      </w:r>
      <w:r w:rsidRPr="005E7B17">
        <w:rPr>
          <w:spacing w:val="1"/>
          <w:sz w:val="20"/>
          <w:szCs w:val="20"/>
        </w:rPr>
        <w:t xml:space="preserve"> </w:t>
      </w:r>
      <w:r w:rsidRPr="005E7B17">
        <w:rPr>
          <w:sz w:val="20"/>
          <w:szCs w:val="20"/>
        </w:rPr>
        <w:t>However, the Court also referenced the nationa</w:t>
      </w:r>
      <w:r w:rsidR="00E34801">
        <w:rPr>
          <w:sz w:val="20"/>
          <w:szCs w:val="20"/>
        </w:rPr>
        <w:t xml:space="preserve">l </w:t>
      </w:r>
      <w:r w:rsidRPr="005E7B17">
        <w:rPr>
          <w:sz w:val="20"/>
          <w:szCs w:val="20"/>
        </w:rPr>
        <w:t>approaches</w:t>
      </w:r>
      <w:r w:rsidRPr="005E7B17">
        <w:rPr>
          <w:spacing w:val="-2"/>
          <w:sz w:val="20"/>
          <w:szCs w:val="20"/>
        </w:rPr>
        <w:t xml:space="preserve"> </w:t>
      </w:r>
      <w:r w:rsidRPr="005E7B17">
        <w:rPr>
          <w:sz w:val="20"/>
          <w:szCs w:val="20"/>
        </w:rPr>
        <w:t>to the</w:t>
      </w:r>
      <w:r w:rsidRPr="005E7B17">
        <w:rPr>
          <w:spacing w:val="-1"/>
          <w:sz w:val="20"/>
          <w:szCs w:val="20"/>
        </w:rPr>
        <w:t xml:space="preserve"> </w:t>
      </w:r>
      <w:r w:rsidRPr="005E7B17">
        <w:rPr>
          <w:sz w:val="20"/>
          <w:szCs w:val="20"/>
        </w:rPr>
        <w:t>question</w:t>
      </w:r>
      <w:r w:rsidRPr="005E7B17">
        <w:rPr>
          <w:spacing w:val="-1"/>
          <w:sz w:val="20"/>
          <w:szCs w:val="20"/>
        </w:rPr>
        <w:t xml:space="preserve"> </w:t>
      </w:r>
      <w:r w:rsidRPr="005E7B17">
        <w:rPr>
          <w:sz w:val="20"/>
          <w:szCs w:val="20"/>
        </w:rPr>
        <w:t>of</w:t>
      </w:r>
      <w:r w:rsidRPr="005E7B17">
        <w:rPr>
          <w:spacing w:val="-1"/>
          <w:sz w:val="20"/>
          <w:szCs w:val="20"/>
        </w:rPr>
        <w:t xml:space="preserve"> </w:t>
      </w:r>
      <w:r w:rsidRPr="005E7B17">
        <w:rPr>
          <w:sz w:val="20"/>
          <w:szCs w:val="20"/>
        </w:rPr>
        <w:t>fitness.</w:t>
      </w:r>
    </w:p>
  </w:footnote>
  <w:footnote w:id="16">
    <w:p w14:paraId="039D4090" w14:textId="54A6262B" w:rsidR="009F40F1" w:rsidRPr="005E7B17" w:rsidRDefault="009F40F1" w:rsidP="009F40F1">
      <w:pPr>
        <w:spacing w:before="0" w:line="240" w:lineRule="auto"/>
        <w:ind w:left="952" w:hanging="952"/>
        <w:rPr>
          <w:sz w:val="20"/>
          <w:szCs w:val="20"/>
        </w:rPr>
      </w:pPr>
      <w:r w:rsidRPr="005E7B17">
        <w:rPr>
          <w:rStyle w:val="FootnoteReference"/>
          <w:sz w:val="20"/>
          <w:szCs w:val="20"/>
        </w:rPr>
        <w:footnoteRef/>
      </w:r>
      <w:r w:rsidRPr="005E7B17">
        <w:rPr>
          <w:sz w:val="20"/>
          <w:szCs w:val="20"/>
        </w:rPr>
        <w:t xml:space="preserve"> </w:t>
      </w:r>
      <w:r w:rsidRPr="005E7B17">
        <w:rPr>
          <w:i/>
          <w:sz w:val="20"/>
          <w:szCs w:val="20"/>
        </w:rPr>
        <w:t>Mental Health and Cognitive Impairment (Forensic Provisions) Act 2020</w:t>
      </w:r>
      <w:r w:rsidRPr="005E7B17">
        <w:rPr>
          <w:iCs/>
          <w:sz w:val="20"/>
          <w:szCs w:val="20"/>
        </w:rPr>
        <w:t xml:space="preserve"> </w:t>
      </w:r>
      <w:r w:rsidR="00E34801">
        <w:rPr>
          <w:iCs/>
          <w:sz w:val="20"/>
          <w:szCs w:val="20"/>
        </w:rPr>
        <w:t>(NSW)</w:t>
      </w:r>
      <w:r w:rsidRPr="005E7B17">
        <w:rPr>
          <w:iCs/>
          <w:sz w:val="20"/>
          <w:szCs w:val="20"/>
        </w:rPr>
        <w:t xml:space="preserve"> s 42</w:t>
      </w:r>
      <w:r w:rsidRPr="005E7B17">
        <w:rPr>
          <w:sz w:val="20"/>
          <w:szCs w:val="20"/>
        </w:rPr>
        <w:t>.</w:t>
      </w:r>
    </w:p>
  </w:footnote>
  <w:footnote w:id="17">
    <w:p w14:paraId="3CE2E4CA" w14:textId="55F586D3" w:rsidR="009F40F1" w:rsidRPr="00E34801" w:rsidRDefault="009F40F1" w:rsidP="00E34801">
      <w:pPr>
        <w:spacing w:before="0" w:line="240" w:lineRule="auto"/>
        <w:ind w:left="952" w:hanging="952"/>
        <w:rPr>
          <w:sz w:val="20"/>
          <w:szCs w:val="20"/>
        </w:rPr>
      </w:pPr>
      <w:r w:rsidRPr="005E7B17">
        <w:rPr>
          <w:rStyle w:val="FootnoteReference"/>
          <w:sz w:val="20"/>
          <w:szCs w:val="20"/>
        </w:rPr>
        <w:footnoteRef/>
      </w:r>
      <w:r w:rsidRPr="005E7B17">
        <w:rPr>
          <w:sz w:val="20"/>
          <w:szCs w:val="20"/>
        </w:rPr>
        <w:t xml:space="preserve"> This</w:t>
      </w:r>
      <w:r w:rsidRPr="005E7B17">
        <w:rPr>
          <w:spacing w:val="-2"/>
          <w:sz w:val="20"/>
          <w:szCs w:val="20"/>
        </w:rPr>
        <w:t xml:space="preserve"> </w:t>
      </w:r>
      <w:r w:rsidRPr="005E7B17">
        <w:rPr>
          <w:sz w:val="20"/>
          <w:szCs w:val="20"/>
        </w:rPr>
        <w:t>due</w:t>
      </w:r>
      <w:r w:rsidRPr="005E7B17">
        <w:rPr>
          <w:spacing w:val="-2"/>
          <w:sz w:val="20"/>
          <w:szCs w:val="20"/>
        </w:rPr>
        <w:t xml:space="preserve"> </w:t>
      </w:r>
      <w:r w:rsidRPr="005E7B17">
        <w:rPr>
          <w:sz w:val="20"/>
          <w:szCs w:val="20"/>
        </w:rPr>
        <w:t>to</w:t>
      </w:r>
      <w:r w:rsidRPr="005E7B17">
        <w:rPr>
          <w:spacing w:val="-1"/>
          <w:sz w:val="20"/>
          <w:szCs w:val="20"/>
        </w:rPr>
        <w:t xml:space="preserve"> </w:t>
      </w:r>
      <w:r w:rsidRPr="005E7B17">
        <w:rPr>
          <w:sz w:val="20"/>
          <w:szCs w:val="20"/>
        </w:rPr>
        <w:t>the</w:t>
      </w:r>
      <w:r w:rsidRPr="005E7B17">
        <w:rPr>
          <w:spacing w:val="-2"/>
          <w:sz w:val="20"/>
          <w:szCs w:val="20"/>
        </w:rPr>
        <w:t xml:space="preserve"> </w:t>
      </w:r>
      <w:r w:rsidRPr="005E7B17">
        <w:rPr>
          <w:sz w:val="20"/>
          <w:szCs w:val="20"/>
        </w:rPr>
        <w:t>effect</w:t>
      </w:r>
      <w:r w:rsidRPr="005E7B17">
        <w:rPr>
          <w:spacing w:val="-1"/>
          <w:sz w:val="20"/>
          <w:szCs w:val="20"/>
        </w:rPr>
        <w:t xml:space="preserve"> </w:t>
      </w:r>
      <w:r w:rsidRPr="005E7B17">
        <w:rPr>
          <w:sz w:val="20"/>
          <w:szCs w:val="20"/>
        </w:rPr>
        <w:t xml:space="preserve">of </w:t>
      </w:r>
      <w:r w:rsidRPr="005E7B17">
        <w:rPr>
          <w:i/>
          <w:sz w:val="20"/>
          <w:szCs w:val="20"/>
        </w:rPr>
        <w:t>Judiciary</w:t>
      </w:r>
      <w:r w:rsidRPr="005E7B17">
        <w:rPr>
          <w:i/>
          <w:spacing w:val="-1"/>
          <w:sz w:val="20"/>
          <w:szCs w:val="20"/>
        </w:rPr>
        <w:t xml:space="preserve"> </w:t>
      </w:r>
      <w:r w:rsidRPr="005E7B17">
        <w:rPr>
          <w:i/>
          <w:sz w:val="20"/>
          <w:szCs w:val="20"/>
        </w:rPr>
        <w:t>Act</w:t>
      </w:r>
      <w:r w:rsidRPr="005E7B17">
        <w:rPr>
          <w:i/>
          <w:spacing w:val="-2"/>
          <w:sz w:val="20"/>
          <w:szCs w:val="20"/>
        </w:rPr>
        <w:t xml:space="preserve"> </w:t>
      </w:r>
      <w:r w:rsidRPr="005E7B17">
        <w:rPr>
          <w:i/>
          <w:sz w:val="20"/>
          <w:szCs w:val="20"/>
        </w:rPr>
        <w:t>190</w:t>
      </w:r>
      <w:r w:rsidR="0024203C">
        <w:rPr>
          <w:i/>
          <w:sz w:val="20"/>
          <w:szCs w:val="20"/>
        </w:rPr>
        <w:t>3</w:t>
      </w:r>
      <w:r w:rsidRPr="005E7B17">
        <w:rPr>
          <w:i/>
          <w:sz w:val="20"/>
          <w:szCs w:val="20"/>
        </w:rPr>
        <w:t xml:space="preserve"> </w:t>
      </w:r>
      <w:r w:rsidRPr="005E7B17">
        <w:rPr>
          <w:sz w:val="20"/>
          <w:szCs w:val="20"/>
        </w:rPr>
        <w:t>(</w:t>
      </w:r>
      <w:proofErr w:type="spellStart"/>
      <w:r w:rsidRPr="005E7B17">
        <w:rPr>
          <w:sz w:val="20"/>
          <w:szCs w:val="20"/>
        </w:rPr>
        <w:t>Cth</w:t>
      </w:r>
      <w:proofErr w:type="spellEnd"/>
      <w:r w:rsidRPr="005E7B17">
        <w:rPr>
          <w:sz w:val="20"/>
          <w:szCs w:val="20"/>
        </w:rPr>
        <w:t>)</w:t>
      </w:r>
      <w:r w:rsidR="006243FB">
        <w:rPr>
          <w:sz w:val="20"/>
          <w:szCs w:val="20"/>
        </w:rPr>
        <w:t>;</w:t>
      </w:r>
      <w:r w:rsidRPr="005E7B17">
        <w:rPr>
          <w:spacing w:val="-2"/>
          <w:sz w:val="20"/>
          <w:szCs w:val="20"/>
        </w:rPr>
        <w:t xml:space="preserve"> </w:t>
      </w:r>
      <w:r w:rsidR="006243FB">
        <w:rPr>
          <w:sz w:val="20"/>
          <w:szCs w:val="20"/>
        </w:rPr>
        <w:t>S</w:t>
      </w:r>
      <w:r w:rsidRPr="005E7B17">
        <w:rPr>
          <w:sz w:val="20"/>
          <w:szCs w:val="20"/>
        </w:rPr>
        <w:t>ee</w:t>
      </w:r>
      <w:r w:rsidRPr="005E7B17">
        <w:rPr>
          <w:spacing w:val="-1"/>
          <w:sz w:val="20"/>
          <w:szCs w:val="20"/>
        </w:rPr>
        <w:t xml:space="preserve"> </w:t>
      </w:r>
      <w:r w:rsidR="006243FB">
        <w:rPr>
          <w:spacing w:val="-1"/>
          <w:sz w:val="20"/>
          <w:szCs w:val="20"/>
        </w:rPr>
        <w:t xml:space="preserve">generally </w:t>
      </w:r>
      <w:r w:rsidRPr="005E7B17">
        <w:rPr>
          <w:i/>
          <w:sz w:val="20"/>
          <w:szCs w:val="20"/>
        </w:rPr>
        <w:t>Kesavarajah</w:t>
      </w:r>
      <w:r w:rsidRPr="005E7B17">
        <w:rPr>
          <w:i/>
          <w:spacing w:val="-3"/>
          <w:sz w:val="20"/>
          <w:szCs w:val="20"/>
        </w:rPr>
        <w:t xml:space="preserve"> </w:t>
      </w:r>
      <w:r w:rsidR="006243FB">
        <w:rPr>
          <w:iCs/>
          <w:spacing w:val="-3"/>
          <w:sz w:val="20"/>
          <w:szCs w:val="20"/>
        </w:rPr>
        <w:t>(n 8).</w:t>
      </w:r>
    </w:p>
  </w:footnote>
  <w:footnote w:id="18">
    <w:p w14:paraId="676FE3DC" w14:textId="77777777"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For example, the </w:t>
      </w:r>
      <w:r w:rsidRPr="005E7B17">
        <w:rPr>
          <w:i/>
          <w:color w:val="auto"/>
        </w:rPr>
        <w:t xml:space="preserve">Crimes (Mental Impairment and Unfitness to be Tried) Act 1997 </w:t>
      </w:r>
      <w:r w:rsidRPr="005E7B17">
        <w:rPr>
          <w:color w:val="auto"/>
        </w:rPr>
        <w:t xml:space="preserve">(Vic) and the </w:t>
      </w:r>
      <w:r w:rsidRPr="005E7B17">
        <w:rPr>
          <w:i/>
          <w:color w:val="auto"/>
        </w:rPr>
        <w:t>Mental Health (Criminal</w:t>
      </w:r>
      <w:r w:rsidRPr="005E7B17">
        <w:rPr>
          <w:i/>
          <w:color w:val="auto"/>
          <w:spacing w:val="-38"/>
        </w:rPr>
        <w:t xml:space="preserve"> </w:t>
      </w:r>
      <w:r w:rsidRPr="005E7B17">
        <w:rPr>
          <w:i/>
          <w:color w:val="auto"/>
        </w:rPr>
        <w:t>Procedure)</w:t>
      </w:r>
      <w:r w:rsidRPr="005E7B17">
        <w:rPr>
          <w:i/>
          <w:color w:val="auto"/>
          <w:spacing w:val="-1"/>
        </w:rPr>
        <w:t xml:space="preserve"> </w:t>
      </w:r>
      <w:r w:rsidRPr="005E7B17">
        <w:rPr>
          <w:i/>
          <w:color w:val="auto"/>
        </w:rPr>
        <w:t>Act</w:t>
      </w:r>
      <w:r w:rsidRPr="005E7B17">
        <w:rPr>
          <w:i/>
          <w:color w:val="auto"/>
          <w:spacing w:val="-1"/>
        </w:rPr>
        <w:t xml:space="preserve"> </w:t>
      </w:r>
      <w:r w:rsidRPr="005E7B17">
        <w:rPr>
          <w:i/>
          <w:color w:val="auto"/>
        </w:rPr>
        <w:t>1990</w:t>
      </w:r>
      <w:r w:rsidRPr="005E7B17">
        <w:rPr>
          <w:i/>
          <w:color w:val="auto"/>
          <w:spacing w:val="1"/>
        </w:rPr>
        <w:t xml:space="preserve"> </w:t>
      </w:r>
      <w:r w:rsidRPr="005E7B17">
        <w:rPr>
          <w:color w:val="auto"/>
        </w:rPr>
        <w:t>(NSW).</w:t>
      </w:r>
    </w:p>
  </w:footnote>
  <w:footnote w:id="19">
    <w:p w14:paraId="0F00613C" w14:textId="320E7F51" w:rsidR="00F17117" w:rsidRDefault="00F17117">
      <w:pPr>
        <w:pStyle w:val="FootnoteText"/>
      </w:pPr>
      <w:r w:rsidRPr="00BF0AD5">
        <w:rPr>
          <w:rStyle w:val="FootnoteReference"/>
          <w:color w:val="auto"/>
        </w:rPr>
        <w:footnoteRef/>
      </w:r>
      <w:r w:rsidRPr="00BF0AD5">
        <w:rPr>
          <w:color w:val="auto"/>
        </w:rPr>
        <w:t xml:space="preserve"> [1958] VR 45 (‘</w:t>
      </w:r>
      <w:r w:rsidRPr="000406DC">
        <w:rPr>
          <w:b/>
          <w:bCs/>
          <w:i/>
          <w:iCs/>
          <w:color w:val="auto"/>
        </w:rPr>
        <w:t>Presser</w:t>
      </w:r>
      <w:r w:rsidRPr="00BF0AD5">
        <w:rPr>
          <w:color w:val="auto"/>
        </w:rPr>
        <w:t>’).</w:t>
      </w:r>
    </w:p>
  </w:footnote>
  <w:footnote w:id="20">
    <w:p w14:paraId="62337B3E" w14:textId="653EA4DB"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b/>
          <w:color w:val="auto"/>
        </w:rPr>
        <w:t xml:space="preserve">NSW: </w:t>
      </w:r>
      <w:r w:rsidRPr="005E7B17">
        <w:rPr>
          <w:i/>
          <w:color w:val="auto"/>
        </w:rPr>
        <w:t>Mental Health and Cognitive Impairment (Forensic Provisions) Act 2020</w:t>
      </w:r>
      <w:r w:rsidR="0024203C">
        <w:rPr>
          <w:i/>
          <w:color w:val="auto"/>
        </w:rPr>
        <w:t xml:space="preserve"> </w:t>
      </w:r>
      <w:r w:rsidR="0024203C">
        <w:rPr>
          <w:iCs/>
          <w:color w:val="auto"/>
        </w:rPr>
        <w:t>(NSW)</w:t>
      </w:r>
      <w:r w:rsidRPr="005E7B17">
        <w:rPr>
          <w:i/>
          <w:color w:val="auto"/>
        </w:rPr>
        <w:t xml:space="preserve"> </w:t>
      </w:r>
      <w:r w:rsidR="00C25479">
        <w:rPr>
          <w:iCs/>
          <w:color w:val="auto"/>
        </w:rPr>
        <w:t>p</w:t>
      </w:r>
      <w:r w:rsidRPr="005E7B17">
        <w:rPr>
          <w:iCs/>
          <w:color w:val="auto"/>
        </w:rPr>
        <w:t xml:space="preserve">t 4 </w:t>
      </w:r>
      <w:r w:rsidR="00C25479">
        <w:rPr>
          <w:iCs/>
          <w:color w:val="auto"/>
        </w:rPr>
        <w:t>–</w:t>
      </w:r>
      <w:r w:rsidRPr="005E7B17">
        <w:rPr>
          <w:iCs/>
          <w:color w:val="auto"/>
        </w:rPr>
        <w:t xml:space="preserve"> the</w:t>
      </w:r>
      <w:r w:rsidR="00C25479">
        <w:rPr>
          <w:iCs/>
          <w:color w:val="auto"/>
        </w:rPr>
        <w:t xml:space="preserve"> </w:t>
      </w:r>
      <w:r w:rsidRPr="005E7B17">
        <w:rPr>
          <w:iCs/>
          <w:color w:val="auto"/>
        </w:rPr>
        <w:t>criteria in which a person is determined to be unfit is set out in s 36.</w:t>
      </w:r>
      <w:r w:rsidRPr="005E7B17">
        <w:rPr>
          <w:color w:val="auto"/>
        </w:rPr>
        <w:t xml:space="preserve"> </w:t>
      </w:r>
      <w:r w:rsidRPr="005E7B17">
        <w:rPr>
          <w:b/>
          <w:color w:val="auto"/>
        </w:rPr>
        <w:t xml:space="preserve">Vic: </w:t>
      </w:r>
      <w:r w:rsidRPr="005E7B17">
        <w:rPr>
          <w:i/>
          <w:color w:val="auto"/>
        </w:rPr>
        <w:t xml:space="preserve">Crimes (Mental Impairment and Unfitness to be Tried) Act 1997 </w:t>
      </w:r>
      <w:r w:rsidRPr="005E7B17">
        <w:rPr>
          <w:color w:val="auto"/>
        </w:rPr>
        <w:t>(Vic)</w:t>
      </w:r>
      <w:r w:rsidRPr="005E7B17">
        <w:rPr>
          <w:color w:val="auto"/>
          <w:spacing w:val="1"/>
        </w:rPr>
        <w:t xml:space="preserve"> </w:t>
      </w:r>
      <w:r w:rsidR="00C25479">
        <w:rPr>
          <w:color w:val="auto"/>
        </w:rPr>
        <w:t>p</w:t>
      </w:r>
      <w:r w:rsidRPr="005E7B17">
        <w:rPr>
          <w:color w:val="auto"/>
        </w:rPr>
        <w:t>t 2 - the criteria for unfitness are set out in s 6.</w:t>
      </w:r>
      <w:r w:rsidRPr="005E7B17">
        <w:rPr>
          <w:color w:val="auto"/>
          <w:spacing w:val="1"/>
        </w:rPr>
        <w:t xml:space="preserve"> </w:t>
      </w:r>
      <w:r w:rsidRPr="005E7B17">
        <w:rPr>
          <w:b/>
          <w:color w:val="auto"/>
        </w:rPr>
        <w:t xml:space="preserve">Qld: </w:t>
      </w:r>
      <w:r w:rsidRPr="005E7B17">
        <w:rPr>
          <w:i/>
          <w:color w:val="auto"/>
        </w:rPr>
        <w:t xml:space="preserve">Criminal Code 1889 </w:t>
      </w:r>
      <w:r w:rsidRPr="005E7B17">
        <w:rPr>
          <w:color w:val="auto"/>
        </w:rPr>
        <w:t>(Qld) ss 613</w:t>
      </w:r>
      <w:r w:rsidR="00C25479">
        <w:rPr>
          <w:color w:val="auto"/>
        </w:rPr>
        <w:t>,</w:t>
      </w:r>
      <w:r w:rsidRPr="005E7B17">
        <w:rPr>
          <w:color w:val="auto"/>
        </w:rPr>
        <w:t xml:space="preserve"> 645 – the criteria for unfitness are</w:t>
      </w:r>
      <w:r w:rsidR="00C25479">
        <w:rPr>
          <w:color w:val="auto"/>
        </w:rPr>
        <w:t xml:space="preserve"> not defined</w:t>
      </w:r>
      <w:r w:rsidRPr="005E7B17">
        <w:rPr>
          <w:color w:val="auto"/>
        </w:rPr>
        <w:t xml:space="preserve"> in the legislation, and must be determined by reference to the common law.</w:t>
      </w:r>
      <w:r w:rsidRPr="005E7B17">
        <w:rPr>
          <w:color w:val="auto"/>
          <w:spacing w:val="1"/>
        </w:rPr>
        <w:t xml:space="preserve"> </w:t>
      </w:r>
      <w:r w:rsidRPr="005E7B17">
        <w:rPr>
          <w:b/>
          <w:color w:val="auto"/>
        </w:rPr>
        <w:t xml:space="preserve">WA: </w:t>
      </w:r>
      <w:r w:rsidRPr="005E7B17">
        <w:rPr>
          <w:i/>
          <w:color w:val="auto"/>
        </w:rPr>
        <w:t>Criminal Law (Mentally Impaired</w:t>
      </w:r>
      <w:r w:rsidRPr="005E7B17">
        <w:rPr>
          <w:i/>
          <w:color w:val="auto"/>
          <w:spacing w:val="1"/>
        </w:rPr>
        <w:t xml:space="preserve"> </w:t>
      </w:r>
      <w:r w:rsidRPr="005E7B17">
        <w:rPr>
          <w:i/>
          <w:color w:val="auto"/>
        </w:rPr>
        <w:t xml:space="preserve">Accused) Act 1996 </w:t>
      </w:r>
      <w:r w:rsidRPr="005E7B17">
        <w:rPr>
          <w:color w:val="auto"/>
        </w:rPr>
        <w:t xml:space="preserve">(WA), </w:t>
      </w:r>
      <w:r w:rsidR="00C25479">
        <w:rPr>
          <w:color w:val="auto"/>
        </w:rPr>
        <w:t>p</w:t>
      </w:r>
      <w:r w:rsidRPr="005E7B17">
        <w:rPr>
          <w:color w:val="auto"/>
        </w:rPr>
        <w:t xml:space="preserve">t 3 </w:t>
      </w:r>
      <w:r w:rsidR="00C25479">
        <w:rPr>
          <w:color w:val="auto"/>
        </w:rPr>
        <w:t>–</w:t>
      </w:r>
      <w:r w:rsidRPr="005E7B17">
        <w:rPr>
          <w:color w:val="auto"/>
        </w:rPr>
        <w:t xml:space="preserve"> the</w:t>
      </w:r>
      <w:r w:rsidR="00C25479">
        <w:rPr>
          <w:color w:val="auto"/>
        </w:rPr>
        <w:t xml:space="preserve"> </w:t>
      </w:r>
      <w:r w:rsidRPr="005E7B17">
        <w:rPr>
          <w:color w:val="auto"/>
        </w:rPr>
        <w:t>criteria for unfitness are set out in s 9.</w:t>
      </w:r>
      <w:r w:rsidRPr="005E7B17">
        <w:rPr>
          <w:color w:val="auto"/>
          <w:spacing w:val="1"/>
        </w:rPr>
        <w:t xml:space="preserve"> </w:t>
      </w:r>
      <w:r w:rsidRPr="005E7B17">
        <w:rPr>
          <w:b/>
          <w:color w:val="auto"/>
        </w:rPr>
        <w:t xml:space="preserve">SA: </w:t>
      </w:r>
      <w:r w:rsidRPr="005E7B17">
        <w:rPr>
          <w:i/>
          <w:color w:val="auto"/>
        </w:rPr>
        <w:t xml:space="preserve">Criminal Law Consolidation Act 1935 </w:t>
      </w:r>
      <w:r w:rsidRPr="005E7B17">
        <w:rPr>
          <w:color w:val="auto"/>
        </w:rPr>
        <w:t xml:space="preserve">(SA) </w:t>
      </w:r>
      <w:r w:rsidR="00C25479">
        <w:rPr>
          <w:color w:val="auto"/>
        </w:rPr>
        <w:t>p</w:t>
      </w:r>
      <w:r w:rsidRPr="005E7B17">
        <w:rPr>
          <w:color w:val="auto"/>
        </w:rPr>
        <w:t xml:space="preserve">t 8A </w:t>
      </w:r>
      <w:r w:rsidR="00C25479">
        <w:rPr>
          <w:color w:val="auto"/>
        </w:rPr>
        <w:t>–</w:t>
      </w:r>
      <w:r w:rsidRPr="005E7B17">
        <w:rPr>
          <w:color w:val="auto"/>
          <w:spacing w:val="1"/>
        </w:rPr>
        <w:t xml:space="preserve"> </w:t>
      </w:r>
      <w:r w:rsidRPr="005E7B17">
        <w:rPr>
          <w:color w:val="auto"/>
        </w:rPr>
        <w:t>the</w:t>
      </w:r>
      <w:r w:rsidR="00C25479">
        <w:rPr>
          <w:color w:val="auto"/>
        </w:rPr>
        <w:t xml:space="preserve"> </w:t>
      </w:r>
      <w:r w:rsidRPr="005E7B17">
        <w:rPr>
          <w:color w:val="auto"/>
        </w:rPr>
        <w:t xml:space="preserve">criteria for unfitness are set out in s 269H. </w:t>
      </w:r>
      <w:r w:rsidRPr="005E7B17">
        <w:rPr>
          <w:b/>
          <w:color w:val="auto"/>
        </w:rPr>
        <w:t xml:space="preserve">Tas: </w:t>
      </w:r>
      <w:r w:rsidRPr="005E7B17">
        <w:rPr>
          <w:i/>
          <w:color w:val="auto"/>
        </w:rPr>
        <w:t xml:space="preserve">Criminal Justice (Mental Impairment) Act 1999 </w:t>
      </w:r>
      <w:r w:rsidRPr="005E7B17">
        <w:rPr>
          <w:color w:val="auto"/>
        </w:rPr>
        <w:t>(Tas)</w:t>
      </w:r>
      <w:r w:rsidR="00C25479">
        <w:rPr>
          <w:color w:val="auto"/>
        </w:rPr>
        <w:t xml:space="preserve"> p</w:t>
      </w:r>
      <w:r w:rsidRPr="005E7B17">
        <w:rPr>
          <w:color w:val="auto"/>
        </w:rPr>
        <w:t xml:space="preserve">t 2 </w:t>
      </w:r>
      <w:r w:rsidR="00C25479">
        <w:rPr>
          <w:color w:val="auto"/>
        </w:rPr>
        <w:t>–</w:t>
      </w:r>
      <w:r w:rsidRPr="005E7B17">
        <w:rPr>
          <w:color w:val="auto"/>
        </w:rPr>
        <w:t xml:space="preserve"> the</w:t>
      </w:r>
      <w:r w:rsidR="00C25479">
        <w:rPr>
          <w:color w:val="auto"/>
        </w:rPr>
        <w:t xml:space="preserve"> </w:t>
      </w:r>
      <w:r w:rsidRPr="005E7B17">
        <w:rPr>
          <w:color w:val="auto"/>
        </w:rPr>
        <w:t>criteria for</w:t>
      </w:r>
      <w:r w:rsidRPr="005E7B17">
        <w:rPr>
          <w:color w:val="auto"/>
          <w:spacing w:val="1"/>
        </w:rPr>
        <w:t xml:space="preserve"> </w:t>
      </w:r>
      <w:r w:rsidRPr="005E7B17">
        <w:rPr>
          <w:color w:val="auto"/>
        </w:rPr>
        <w:t>unfitness are set out in s 8.</w:t>
      </w:r>
      <w:r w:rsidRPr="005E7B17">
        <w:rPr>
          <w:color w:val="auto"/>
          <w:spacing w:val="1"/>
        </w:rPr>
        <w:t xml:space="preserve"> </w:t>
      </w:r>
      <w:r w:rsidRPr="005E7B17">
        <w:rPr>
          <w:b/>
          <w:color w:val="auto"/>
        </w:rPr>
        <w:t xml:space="preserve">ACT: </w:t>
      </w:r>
      <w:r w:rsidR="0026548A" w:rsidRPr="0026548A">
        <w:rPr>
          <w:i/>
          <w:color w:val="auto"/>
        </w:rPr>
        <w:t>Crimes Act</w:t>
      </w:r>
      <w:r w:rsidRPr="005E7B17">
        <w:rPr>
          <w:i/>
          <w:color w:val="auto"/>
        </w:rPr>
        <w:t xml:space="preserve"> 1900 </w:t>
      </w:r>
      <w:r w:rsidRPr="005E7B17">
        <w:rPr>
          <w:color w:val="auto"/>
        </w:rPr>
        <w:t xml:space="preserve">(ACT), </w:t>
      </w:r>
      <w:proofErr w:type="spellStart"/>
      <w:r w:rsidR="00BF0AD5">
        <w:rPr>
          <w:color w:val="auto"/>
        </w:rPr>
        <w:t>d</w:t>
      </w:r>
      <w:r w:rsidRPr="005E7B17">
        <w:rPr>
          <w:color w:val="auto"/>
        </w:rPr>
        <w:t>ivs</w:t>
      </w:r>
      <w:proofErr w:type="spellEnd"/>
      <w:r w:rsidRPr="005E7B17">
        <w:rPr>
          <w:color w:val="auto"/>
        </w:rPr>
        <w:t xml:space="preserve"> 13.2</w:t>
      </w:r>
      <w:r w:rsidR="00C25479">
        <w:rPr>
          <w:color w:val="auto"/>
        </w:rPr>
        <w:t>,</w:t>
      </w:r>
      <w:r w:rsidRPr="005E7B17">
        <w:rPr>
          <w:color w:val="auto"/>
        </w:rPr>
        <w:t xml:space="preserve"> 13.6 </w:t>
      </w:r>
      <w:r w:rsidR="00C25479">
        <w:rPr>
          <w:color w:val="auto"/>
        </w:rPr>
        <w:t>–</w:t>
      </w:r>
      <w:r w:rsidRPr="005E7B17">
        <w:rPr>
          <w:color w:val="auto"/>
        </w:rPr>
        <w:t xml:space="preserve"> the</w:t>
      </w:r>
      <w:r w:rsidR="00C25479">
        <w:rPr>
          <w:color w:val="auto"/>
        </w:rPr>
        <w:t xml:space="preserve"> </w:t>
      </w:r>
      <w:r w:rsidRPr="005E7B17">
        <w:rPr>
          <w:color w:val="auto"/>
        </w:rPr>
        <w:t>criteria for unfitness are set out in s 311.</w:t>
      </w:r>
      <w:r w:rsidRPr="005E7B17">
        <w:rPr>
          <w:color w:val="auto"/>
          <w:spacing w:val="1"/>
        </w:rPr>
        <w:t xml:space="preserve"> </w:t>
      </w:r>
      <w:r w:rsidRPr="005E7B17">
        <w:rPr>
          <w:b/>
          <w:color w:val="auto"/>
        </w:rPr>
        <w:t>NT:</w:t>
      </w:r>
      <w:r w:rsidRPr="005E7B17">
        <w:rPr>
          <w:b/>
          <w:color w:val="auto"/>
          <w:spacing w:val="1"/>
        </w:rPr>
        <w:t xml:space="preserve"> </w:t>
      </w:r>
      <w:r w:rsidRPr="005E7B17">
        <w:rPr>
          <w:i/>
          <w:color w:val="auto"/>
        </w:rPr>
        <w:t>Criminal</w:t>
      </w:r>
      <w:r w:rsidRPr="005E7B17">
        <w:rPr>
          <w:i/>
          <w:color w:val="auto"/>
          <w:spacing w:val="-2"/>
        </w:rPr>
        <w:t xml:space="preserve"> </w:t>
      </w:r>
      <w:r w:rsidRPr="005E7B17">
        <w:rPr>
          <w:i/>
          <w:color w:val="auto"/>
        </w:rPr>
        <w:t>Code Act</w:t>
      </w:r>
      <w:r w:rsidRPr="005E7B17">
        <w:rPr>
          <w:i/>
          <w:color w:val="auto"/>
          <w:spacing w:val="-1"/>
        </w:rPr>
        <w:t xml:space="preserve"> </w:t>
      </w:r>
      <w:r w:rsidRPr="005E7B17">
        <w:rPr>
          <w:i/>
          <w:color w:val="auto"/>
        </w:rPr>
        <w:t xml:space="preserve">1983 </w:t>
      </w:r>
      <w:r w:rsidRPr="005E7B17">
        <w:rPr>
          <w:color w:val="auto"/>
        </w:rPr>
        <w:t xml:space="preserve">(NT) </w:t>
      </w:r>
      <w:r w:rsidR="00C25479">
        <w:rPr>
          <w:color w:val="auto"/>
        </w:rPr>
        <w:t>s</w:t>
      </w:r>
      <w:r w:rsidRPr="005E7B17">
        <w:rPr>
          <w:color w:val="auto"/>
        </w:rPr>
        <w:t>ch</w:t>
      </w:r>
      <w:r w:rsidRPr="005E7B17">
        <w:rPr>
          <w:color w:val="auto"/>
          <w:spacing w:val="-2"/>
        </w:rPr>
        <w:t xml:space="preserve"> </w:t>
      </w:r>
      <w:r w:rsidRPr="005E7B17">
        <w:rPr>
          <w:color w:val="auto"/>
        </w:rPr>
        <w:t>1</w:t>
      </w:r>
      <w:r w:rsidR="00C25479">
        <w:rPr>
          <w:color w:val="auto"/>
        </w:rPr>
        <w:t xml:space="preserve"> p</w:t>
      </w:r>
      <w:r w:rsidRPr="005E7B17">
        <w:rPr>
          <w:color w:val="auto"/>
        </w:rPr>
        <w:t>t</w:t>
      </w:r>
      <w:r w:rsidRPr="005E7B17">
        <w:rPr>
          <w:color w:val="auto"/>
          <w:spacing w:val="-1"/>
        </w:rPr>
        <w:t xml:space="preserve"> </w:t>
      </w:r>
      <w:r w:rsidRPr="005E7B17">
        <w:rPr>
          <w:color w:val="auto"/>
        </w:rPr>
        <w:t xml:space="preserve">IIA </w:t>
      </w:r>
      <w:r w:rsidR="00C25479">
        <w:rPr>
          <w:color w:val="auto"/>
        </w:rPr>
        <w:t>–</w:t>
      </w:r>
      <w:r w:rsidRPr="005E7B17">
        <w:rPr>
          <w:color w:val="auto"/>
        </w:rPr>
        <w:t xml:space="preserve"> the</w:t>
      </w:r>
      <w:r w:rsidR="00C25479">
        <w:rPr>
          <w:color w:val="auto"/>
          <w:spacing w:val="-2"/>
        </w:rPr>
        <w:t xml:space="preserve"> </w:t>
      </w:r>
      <w:r w:rsidRPr="005E7B17">
        <w:rPr>
          <w:color w:val="auto"/>
        </w:rPr>
        <w:t>criteria</w:t>
      </w:r>
      <w:r w:rsidRPr="005E7B17">
        <w:rPr>
          <w:color w:val="auto"/>
          <w:spacing w:val="-1"/>
        </w:rPr>
        <w:t xml:space="preserve"> </w:t>
      </w:r>
      <w:r w:rsidRPr="005E7B17">
        <w:rPr>
          <w:color w:val="auto"/>
        </w:rPr>
        <w:t>for unfitness</w:t>
      </w:r>
      <w:r w:rsidRPr="005E7B17">
        <w:rPr>
          <w:color w:val="auto"/>
          <w:spacing w:val="-2"/>
        </w:rPr>
        <w:t xml:space="preserve"> </w:t>
      </w:r>
      <w:r w:rsidRPr="005E7B17">
        <w:rPr>
          <w:color w:val="auto"/>
        </w:rPr>
        <w:t>are</w:t>
      </w:r>
      <w:r w:rsidRPr="005E7B17">
        <w:rPr>
          <w:color w:val="auto"/>
          <w:spacing w:val="-1"/>
        </w:rPr>
        <w:t xml:space="preserve"> </w:t>
      </w:r>
      <w:r w:rsidRPr="005E7B17">
        <w:rPr>
          <w:color w:val="auto"/>
        </w:rPr>
        <w:t>set out</w:t>
      </w:r>
      <w:r w:rsidRPr="005E7B17">
        <w:rPr>
          <w:color w:val="auto"/>
          <w:spacing w:val="-1"/>
        </w:rPr>
        <w:t xml:space="preserve"> </w:t>
      </w:r>
      <w:r w:rsidRPr="005E7B17">
        <w:rPr>
          <w:color w:val="auto"/>
        </w:rPr>
        <w:t>in</w:t>
      </w:r>
      <w:r w:rsidRPr="005E7B17">
        <w:rPr>
          <w:color w:val="auto"/>
          <w:spacing w:val="-1"/>
        </w:rPr>
        <w:t xml:space="preserve"> </w:t>
      </w:r>
      <w:r w:rsidRPr="005E7B17">
        <w:rPr>
          <w:color w:val="auto"/>
        </w:rPr>
        <w:t>s</w:t>
      </w:r>
      <w:r w:rsidRPr="005E7B17">
        <w:rPr>
          <w:color w:val="auto"/>
          <w:spacing w:val="-1"/>
        </w:rPr>
        <w:t xml:space="preserve"> </w:t>
      </w:r>
      <w:r w:rsidRPr="005E7B17">
        <w:rPr>
          <w:color w:val="auto"/>
        </w:rPr>
        <w:t>43J.</w:t>
      </w:r>
    </w:p>
  </w:footnote>
  <w:footnote w:id="21">
    <w:p w14:paraId="7621276A" w14:textId="1CAEB915" w:rsidR="009F40F1" w:rsidRPr="005E7B17" w:rsidRDefault="009F40F1" w:rsidP="009F40F1">
      <w:pPr>
        <w:spacing w:before="0" w:line="240" w:lineRule="auto"/>
        <w:ind w:right="1004"/>
        <w:rPr>
          <w:sz w:val="20"/>
          <w:szCs w:val="20"/>
        </w:rPr>
      </w:pPr>
      <w:r w:rsidRPr="005E7B17">
        <w:rPr>
          <w:rStyle w:val="FootnoteReference"/>
          <w:sz w:val="20"/>
          <w:szCs w:val="20"/>
        </w:rPr>
        <w:footnoteRef/>
      </w:r>
      <w:r w:rsidRPr="005E7B17">
        <w:rPr>
          <w:sz w:val="20"/>
          <w:szCs w:val="20"/>
        </w:rPr>
        <w:t xml:space="preserve"> There is a requirement for a spend approval to be created by the </w:t>
      </w:r>
      <w:r w:rsidR="00C25479">
        <w:rPr>
          <w:sz w:val="20"/>
          <w:szCs w:val="20"/>
        </w:rPr>
        <w:t>p</w:t>
      </w:r>
      <w:r w:rsidRPr="005E7B17">
        <w:rPr>
          <w:sz w:val="20"/>
          <w:szCs w:val="20"/>
        </w:rPr>
        <w:t>rosecutor, and approval to be made by a person at</w:t>
      </w:r>
      <w:r w:rsidR="00C25479">
        <w:rPr>
          <w:sz w:val="20"/>
          <w:szCs w:val="20"/>
        </w:rPr>
        <w:t xml:space="preserve"> the relevant</w:t>
      </w:r>
      <w:r w:rsidRPr="005E7B17">
        <w:rPr>
          <w:sz w:val="20"/>
          <w:szCs w:val="20"/>
        </w:rPr>
        <w:t xml:space="preserve"> position</w:t>
      </w:r>
      <w:r w:rsidRPr="005E7B17">
        <w:rPr>
          <w:spacing w:val="-1"/>
          <w:sz w:val="20"/>
          <w:szCs w:val="20"/>
        </w:rPr>
        <w:t xml:space="preserve"> </w:t>
      </w:r>
      <w:r w:rsidRPr="005E7B17">
        <w:rPr>
          <w:sz w:val="20"/>
          <w:szCs w:val="20"/>
        </w:rPr>
        <w:t>level</w:t>
      </w:r>
      <w:r w:rsidRPr="005E7B17">
        <w:rPr>
          <w:spacing w:val="-1"/>
          <w:sz w:val="20"/>
          <w:szCs w:val="20"/>
        </w:rPr>
        <w:t xml:space="preserve"> </w:t>
      </w:r>
      <w:r w:rsidRPr="005E7B17">
        <w:rPr>
          <w:sz w:val="20"/>
          <w:szCs w:val="20"/>
        </w:rPr>
        <w:t>as</w:t>
      </w:r>
      <w:r w:rsidRPr="005E7B17">
        <w:rPr>
          <w:spacing w:val="1"/>
          <w:sz w:val="20"/>
          <w:szCs w:val="20"/>
        </w:rPr>
        <w:t xml:space="preserve"> </w:t>
      </w:r>
      <w:r w:rsidRPr="005E7B17">
        <w:rPr>
          <w:sz w:val="20"/>
          <w:szCs w:val="20"/>
        </w:rPr>
        <w:t>set out</w:t>
      </w:r>
      <w:r w:rsidRPr="005E7B17">
        <w:rPr>
          <w:spacing w:val="-1"/>
          <w:sz w:val="20"/>
          <w:szCs w:val="20"/>
        </w:rPr>
        <w:t xml:space="preserve"> </w:t>
      </w:r>
      <w:r w:rsidRPr="005E7B17">
        <w:rPr>
          <w:sz w:val="20"/>
          <w:szCs w:val="20"/>
        </w:rPr>
        <w:t>in</w:t>
      </w:r>
      <w:r w:rsidRPr="005E7B17">
        <w:rPr>
          <w:spacing w:val="-1"/>
          <w:sz w:val="20"/>
          <w:szCs w:val="20"/>
        </w:rPr>
        <w:t xml:space="preserve"> </w:t>
      </w:r>
      <w:r w:rsidRPr="005E7B17">
        <w:rPr>
          <w:sz w:val="20"/>
          <w:szCs w:val="20"/>
        </w:rPr>
        <w:t>the</w:t>
      </w:r>
      <w:r w:rsidRPr="005E7B17">
        <w:rPr>
          <w:spacing w:val="1"/>
          <w:sz w:val="20"/>
          <w:szCs w:val="20"/>
        </w:rPr>
        <w:t xml:space="preserve"> </w:t>
      </w:r>
      <w:r w:rsidRPr="005E7B17">
        <w:rPr>
          <w:sz w:val="20"/>
          <w:szCs w:val="20"/>
        </w:rPr>
        <w:t>Financial</w:t>
      </w:r>
      <w:r w:rsidRPr="005E7B17">
        <w:rPr>
          <w:spacing w:val="-1"/>
          <w:sz w:val="20"/>
          <w:szCs w:val="20"/>
        </w:rPr>
        <w:t xml:space="preserve"> </w:t>
      </w:r>
      <w:r w:rsidRPr="005E7B17">
        <w:rPr>
          <w:sz w:val="20"/>
          <w:szCs w:val="20"/>
        </w:rPr>
        <w:t>Delegations</w:t>
      </w:r>
      <w:r w:rsidRPr="005E7B17">
        <w:rPr>
          <w:spacing w:val="1"/>
          <w:sz w:val="20"/>
          <w:szCs w:val="20"/>
        </w:rPr>
        <w:t xml:space="preserve"> </w:t>
      </w:r>
      <w:r w:rsidRPr="005E7B17">
        <w:rPr>
          <w:sz w:val="20"/>
          <w:szCs w:val="20"/>
        </w:rPr>
        <w:t>Matrix.</w:t>
      </w:r>
    </w:p>
  </w:footnote>
  <w:footnote w:id="22">
    <w:p w14:paraId="0DF9D3D7" w14:textId="75FF1C43"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Where a psychological report cannot be gained because of a person’s refusal to be assessed, </w:t>
      </w:r>
      <w:r w:rsidR="00F17117">
        <w:rPr>
          <w:color w:val="auto"/>
        </w:rPr>
        <w:t>see</w:t>
      </w:r>
      <w:r w:rsidRPr="005E7B17">
        <w:rPr>
          <w:color w:val="auto"/>
        </w:rPr>
        <w:t xml:space="preserve"> </w:t>
      </w:r>
      <w:r w:rsidRPr="005E7B17">
        <w:rPr>
          <w:i/>
          <w:color w:val="auto"/>
        </w:rPr>
        <w:t xml:space="preserve">R v Rai </w:t>
      </w:r>
      <w:r w:rsidRPr="005E7B17">
        <w:rPr>
          <w:color w:val="auto"/>
        </w:rPr>
        <w:t>[2011] QCA 64. In</w:t>
      </w:r>
      <w:r w:rsidRPr="005E7B17">
        <w:rPr>
          <w:color w:val="auto"/>
          <w:spacing w:val="1"/>
        </w:rPr>
        <w:t xml:space="preserve"> </w:t>
      </w:r>
      <w:r w:rsidRPr="005E7B17">
        <w:rPr>
          <w:color w:val="auto"/>
        </w:rPr>
        <w:t>that matter, the Court was thwarted from determining fitness due to the person’s behaviour, therefore the person was held to b</w:t>
      </w:r>
      <w:r w:rsidR="0024203C">
        <w:rPr>
          <w:color w:val="auto"/>
        </w:rPr>
        <w:t xml:space="preserve">e </w:t>
      </w:r>
      <w:r w:rsidRPr="005E7B17">
        <w:rPr>
          <w:color w:val="auto"/>
        </w:rPr>
        <w:t>fit</w:t>
      </w:r>
      <w:r w:rsidRPr="005E7B17">
        <w:rPr>
          <w:color w:val="auto"/>
          <w:spacing w:val="-2"/>
        </w:rPr>
        <w:t xml:space="preserve"> </w:t>
      </w:r>
      <w:r w:rsidRPr="005E7B17">
        <w:rPr>
          <w:color w:val="auto"/>
        </w:rPr>
        <w:t>to plead.</w:t>
      </w:r>
    </w:p>
  </w:footnote>
  <w:footnote w:id="23">
    <w:p w14:paraId="4440967A" w14:textId="26DD6514"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i/>
          <w:color w:val="auto"/>
        </w:rPr>
        <w:t>R</w:t>
      </w:r>
      <w:r w:rsidRPr="005E7B17">
        <w:rPr>
          <w:i/>
          <w:color w:val="auto"/>
          <w:spacing w:val="-1"/>
        </w:rPr>
        <w:t xml:space="preserve"> </w:t>
      </w:r>
      <w:r w:rsidRPr="005E7B17">
        <w:rPr>
          <w:i/>
          <w:color w:val="auto"/>
        </w:rPr>
        <w:t>v</w:t>
      </w:r>
      <w:r w:rsidRPr="005E7B17">
        <w:rPr>
          <w:i/>
          <w:color w:val="auto"/>
          <w:spacing w:val="-3"/>
        </w:rPr>
        <w:t xml:space="preserve"> </w:t>
      </w:r>
      <w:r w:rsidRPr="005E7B17">
        <w:rPr>
          <w:i/>
          <w:color w:val="auto"/>
        </w:rPr>
        <w:t>Donovan</w:t>
      </w:r>
      <w:r w:rsidRPr="005E7B17">
        <w:rPr>
          <w:i/>
          <w:color w:val="auto"/>
          <w:spacing w:val="1"/>
        </w:rPr>
        <w:t xml:space="preserve"> </w:t>
      </w:r>
      <w:r w:rsidRPr="005E7B17">
        <w:rPr>
          <w:color w:val="auto"/>
        </w:rPr>
        <w:t>[1990]</w:t>
      </w:r>
      <w:r w:rsidRPr="005E7B17">
        <w:rPr>
          <w:color w:val="auto"/>
          <w:spacing w:val="-2"/>
        </w:rPr>
        <w:t xml:space="preserve"> </w:t>
      </w:r>
      <w:r w:rsidRPr="005E7B17">
        <w:rPr>
          <w:color w:val="auto"/>
        </w:rPr>
        <w:t>WAR</w:t>
      </w:r>
      <w:r w:rsidRPr="005E7B17">
        <w:rPr>
          <w:color w:val="auto"/>
          <w:spacing w:val="-1"/>
        </w:rPr>
        <w:t xml:space="preserve"> </w:t>
      </w:r>
      <w:r w:rsidRPr="005E7B17">
        <w:rPr>
          <w:color w:val="auto"/>
        </w:rPr>
        <w:t>112</w:t>
      </w:r>
      <w:r w:rsidR="00F17117">
        <w:rPr>
          <w:color w:val="auto"/>
        </w:rPr>
        <w:t>.</w:t>
      </w:r>
    </w:p>
  </w:footnote>
  <w:footnote w:id="24">
    <w:p w14:paraId="7CD9A913" w14:textId="5FE158A5"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See</w:t>
      </w:r>
      <w:r w:rsidRPr="005E7B17">
        <w:rPr>
          <w:spacing w:val="-1"/>
          <w:sz w:val="20"/>
          <w:szCs w:val="20"/>
        </w:rPr>
        <w:t xml:space="preserve"> </w:t>
      </w:r>
      <w:r w:rsidRPr="005E7B17">
        <w:rPr>
          <w:i/>
          <w:sz w:val="20"/>
          <w:szCs w:val="20"/>
        </w:rPr>
        <w:t>Presser</w:t>
      </w:r>
      <w:r w:rsidR="00F17117">
        <w:rPr>
          <w:i/>
          <w:sz w:val="20"/>
          <w:szCs w:val="20"/>
        </w:rPr>
        <w:t xml:space="preserve"> </w:t>
      </w:r>
      <w:r w:rsidR="00F17117">
        <w:rPr>
          <w:iCs/>
          <w:sz w:val="20"/>
          <w:szCs w:val="20"/>
        </w:rPr>
        <w:t>(n 19)</w:t>
      </w:r>
      <w:r w:rsidR="00F17117">
        <w:rPr>
          <w:spacing w:val="-2"/>
          <w:sz w:val="20"/>
          <w:szCs w:val="20"/>
        </w:rPr>
        <w:t xml:space="preserve"> </w:t>
      </w:r>
      <w:r w:rsidRPr="005E7B17">
        <w:rPr>
          <w:sz w:val="20"/>
          <w:szCs w:val="20"/>
        </w:rPr>
        <w:t>50,</w:t>
      </w:r>
      <w:r w:rsidRPr="005E7B17">
        <w:rPr>
          <w:spacing w:val="-1"/>
          <w:sz w:val="20"/>
          <w:szCs w:val="20"/>
        </w:rPr>
        <w:t xml:space="preserve"> </w:t>
      </w:r>
      <w:r w:rsidRPr="005E7B17">
        <w:rPr>
          <w:sz w:val="20"/>
          <w:szCs w:val="20"/>
        </w:rPr>
        <w:t>where</w:t>
      </w:r>
      <w:r w:rsidRPr="005E7B17">
        <w:rPr>
          <w:spacing w:val="-3"/>
          <w:sz w:val="20"/>
          <w:szCs w:val="20"/>
        </w:rPr>
        <w:t xml:space="preserve"> </w:t>
      </w:r>
      <w:r w:rsidRPr="005E7B17">
        <w:rPr>
          <w:sz w:val="20"/>
          <w:szCs w:val="20"/>
        </w:rPr>
        <w:t>this</w:t>
      </w:r>
      <w:r w:rsidRPr="005E7B17">
        <w:rPr>
          <w:spacing w:val="-2"/>
          <w:sz w:val="20"/>
          <w:szCs w:val="20"/>
        </w:rPr>
        <w:t xml:space="preserve"> </w:t>
      </w:r>
      <w:r w:rsidRPr="005E7B17">
        <w:rPr>
          <w:sz w:val="20"/>
          <w:szCs w:val="20"/>
        </w:rPr>
        <w:t>scenario</w:t>
      </w:r>
      <w:r w:rsidRPr="005E7B17">
        <w:rPr>
          <w:spacing w:val="-1"/>
          <w:sz w:val="20"/>
          <w:szCs w:val="20"/>
        </w:rPr>
        <w:t xml:space="preserve"> </w:t>
      </w:r>
      <w:r w:rsidR="0079024E">
        <w:rPr>
          <w:sz w:val="20"/>
          <w:szCs w:val="20"/>
        </w:rPr>
        <w:t>occurred:</w:t>
      </w:r>
      <w:r w:rsidRPr="005E7B17">
        <w:rPr>
          <w:spacing w:val="-2"/>
          <w:sz w:val="20"/>
          <w:szCs w:val="20"/>
        </w:rPr>
        <w:t xml:space="preserve"> </w:t>
      </w:r>
      <w:r w:rsidR="0079024E">
        <w:rPr>
          <w:sz w:val="20"/>
          <w:szCs w:val="20"/>
        </w:rPr>
        <w:t>‘</w:t>
      </w:r>
      <w:r w:rsidRPr="005E7B17">
        <w:rPr>
          <w:sz w:val="20"/>
          <w:szCs w:val="20"/>
        </w:rPr>
        <w:t>The</w:t>
      </w:r>
      <w:r w:rsidRPr="005E7B17">
        <w:rPr>
          <w:spacing w:val="-2"/>
          <w:sz w:val="20"/>
          <w:szCs w:val="20"/>
        </w:rPr>
        <w:t xml:space="preserve"> </w:t>
      </w:r>
      <w:r w:rsidRPr="005E7B17">
        <w:rPr>
          <w:sz w:val="20"/>
          <w:szCs w:val="20"/>
        </w:rPr>
        <w:t>Crown</w:t>
      </w:r>
      <w:r w:rsidRPr="005E7B17">
        <w:rPr>
          <w:spacing w:val="-2"/>
          <w:sz w:val="20"/>
          <w:szCs w:val="20"/>
        </w:rPr>
        <w:t xml:space="preserve"> </w:t>
      </w:r>
      <w:r w:rsidRPr="005E7B17">
        <w:rPr>
          <w:sz w:val="20"/>
          <w:szCs w:val="20"/>
        </w:rPr>
        <w:t>wants</w:t>
      </w:r>
      <w:r w:rsidRPr="005E7B17">
        <w:rPr>
          <w:spacing w:val="-3"/>
          <w:sz w:val="20"/>
          <w:szCs w:val="20"/>
        </w:rPr>
        <w:t xml:space="preserve"> </w:t>
      </w:r>
      <w:r w:rsidRPr="005E7B17">
        <w:rPr>
          <w:sz w:val="20"/>
          <w:szCs w:val="20"/>
        </w:rPr>
        <w:t>a</w:t>
      </w:r>
      <w:r w:rsidRPr="005E7B17">
        <w:rPr>
          <w:spacing w:val="-3"/>
          <w:sz w:val="20"/>
          <w:szCs w:val="20"/>
        </w:rPr>
        <w:t xml:space="preserve"> </w:t>
      </w:r>
      <w:r w:rsidRPr="005E7B17">
        <w:rPr>
          <w:sz w:val="20"/>
          <w:szCs w:val="20"/>
        </w:rPr>
        <w:t>finding that</w:t>
      </w:r>
      <w:r w:rsidRPr="005E7B17">
        <w:rPr>
          <w:spacing w:val="-2"/>
          <w:sz w:val="20"/>
          <w:szCs w:val="20"/>
        </w:rPr>
        <w:t xml:space="preserve"> </w:t>
      </w:r>
      <w:r w:rsidRPr="005E7B17">
        <w:rPr>
          <w:sz w:val="20"/>
          <w:szCs w:val="20"/>
        </w:rPr>
        <w:t>he</w:t>
      </w:r>
      <w:r w:rsidRPr="005E7B17">
        <w:rPr>
          <w:spacing w:val="-2"/>
          <w:sz w:val="20"/>
          <w:szCs w:val="20"/>
        </w:rPr>
        <w:t xml:space="preserve"> </w:t>
      </w:r>
      <w:r w:rsidRPr="005E7B17">
        <w:rPr>
          <w:sz w:val="20"/>
          <w:szCs w:val="20"/>
        </w:rPr>
        <w:t>(the</w:t>
      </w:r>
      <w:r w:rsidRPr="005E7B17">
        <w:rPr>
          <w:spacing w:val="3"/>
          <w:sz w:val="20"/>
          <w:szCs w:val="20"/>
        </w:rPr>
        <w:t xml:space="preserve"> </w:t>
      </w:r>
      <w:r w:rsidRPr="005E7B17">
        <w:rPr>
          <w:sz w:val="20"/>
          <w:szCs w:val="20"/>
        </w:rPr>
        <w:t>person)</w:t>
      </w:r>
      <w:r w:rsidRPr="005E7B17">
        <w:rPr>
          <w:spacing w:val="-1"/>
          <w:sz w:val="20"/>
          <w:szCs w:val="20"/>
        </w:rPr>
        <w:t xml:space="preserve"> </w:t>
      </w:r>
      <w:r w:rsidRPr="005E7B17">
        <w:rPr>
          <w:sz w:val="20"/>
          <w:szCs w:val="20"/>
        </w:rPr>
        <w:t>is</w:t>
      </w:r>
      <w:r w:rsidRPr="005E7B17">
        <w:rPr>
          <w:spacing w:val="-3"/>
          <w:sz w:val="20"/>
          <w:szCs w:val="20"/>
        </w:rPr>
        <w:t xml:space="preserve"> </w:t>
      </w:r>
      <w:r w:rsidRPr="005E7B17">
        <w:rPr>
          <w:sz w:val="20"/>
          <w:szCs w:val="20"/>
        </w:rPr>
        <w:t>fit</w:t>
      </w:r>
      <w:r w:rsidRPr="005E7B17">
        <w:rPr>
          <w:spacing w:val="-2"/>
          <w:sz w:val="20"/>
          <w:szCs w:val="20"/>
        </w:rPr>
        <w:t xml:space="preserve"> </w:t>
      </w:r>
      <w:r w:rsidRPr="005E7B17">
        <w:rPr>
          <w:sz w:val="20"/>
          <w:szCs w:val="20"/>
        </w:rPr>
        <w:t>to</w:t>
      </w:r>
      <w:r w:rsidRPr="005E7B17">
        <w:rPr>
          <w:spacing w:val="-1"/>
          <w:sz w:val="20"/>
          <w:szCs w:val="20"/>
        </w:rPr>
        <w:t xml:space="preserve"> </w:t>
      </w:r>
      <w:r w:rsidRPr="005E7B17">
        <w:rPr>
          <w:sz w:val="20"/>
          <w:szCs w:val="20"/>
        </w:rPr>
        <w:t>be</w:t>
      </w:r>
      <w:r w:rsidRPr="005E7B17">
        <w:rPr>
          <w:spacing w:val="-2"/>
          <w:sz w:val="20"/>
          <w:szCs w:val="20"/>
        </w:rPr>
        <w:t xml:space="preserve"> </w:t>
      </w:r>
      <w:r w:rsidRPr="005E7B17">
        <w:rPr>
          <w:sz w:val="20"/>
          <w:szCs w:val="20"/>
        </w:rPr>
        <w:t>tried;</w:t>
      </w:r>
      <w:r w:rsidRPr="005E7B17">
        <w:rPr>
          <w:spacing w:val="-1"/>
          <w:sz w:val="20"/>
          <w:szCs w:val="20"/>
        </w:rPr>
        <w:t xml:space="preserve"> </w:t>
      </w:r>
      <w:r w:rsidRPr="005E7B17">
        <w:rPr>
          <w:sz w:val="20"/>
          <w:szCs w:val="20"/>
        </w:rPr>
        <w:t>and</w:t>
      </w:r>
      <w:r w:rsidRPr="005E7B17">
        <w:rPr>
          <w:spacing w:val="-2"/>
          <w:sz w:val="20"/>
          <w:szCs w:val="20"/>
        </w:rPr>
        <w:t xml:space="preserve"> </w:t>
      </w:r>
      <w:r w:rsidRPr="005E7B17">
        <w:rPr>
          <w:sz w:val="20"/>
          <w:szCs w:val="20"/>
        </w:rPr>
        <w:t>I think</w:t>
      </w:r>
      <w:r w:rsidRPr="005E7B17">
        <w:rPr>
          <w:spacing w:val="-2"/>
          <w:sz w:val="20"/>
          <w:szCs w:val="20"/>
        </w:rPr>
        <w:t xml:space="preserve"> </w:t>
      </w:r>
      <w:r w:rsidRPr="005E7B17">
        <w:rPr>
          <w:sz w:val="20"/>
          <w:szCs w:val="20"/>
        </w:rPr>
        <w:t>the</w:t>
      </w:r>
      <w:r w:rsidRPr="005E7B17">
        <w:rPr>
          <w:spacing w:val="-2"/>
          <w:sz w:val="20"/>
          <w:szCs w:val="20"/>
        </w:rPr>
        <w:t xml:space="preserve"> </w:t>
      </w:r>
      <w:r w:rsidRPr="005E7B17">
        <w:rPr>
          <w:sz w:val="20"/>
          <w:szCs w:val="20"/>
        </w:rPr>
        <w:t>appropriate</w:t>
      </w:r>
      <w:r w:rsidRPr="005E7B17">
        <w:rPr>
          <w:spacing w:val="-2"/>
          <w:sz w:val="20"/>
          <w:szCs w:val="20"/>
        </w:rPr>
        <w:t xml:space="preserve"> </w:t>
      </w:r>
      <w:r w:rsidRPr="005E7B17">
        <w:rPr>
          <w:sz w:val="20"/>
          <w:szCs w:val="20"/>
        </w:rPr>
        <w:t>thing</w:t>
      </w:r>
      <w:r w:rsidRPr="005E7B17">
        <w:rPr>
          <w:spacing w:val="-3"/>
          <w:sz w:val="20"/>
          <w:szCs w:val="20"/>
        </w:rPr>
        <w:t xml:space="preserve"> </w:t>
      </w:r>
      <w:r w:rsidRPr="005E7B17">
        <w:rPr>
          <w:sz w:val="20"/>
          <w:szCs w:val="20"/>
        </w:rPr>
        <w:t>is</w:t>
      </w:r>
      <w:r w:rsidRPr="005E7B17">
        <w:rPr>
          <w:spacing w:val="-2"/>
          <w:sz w:val="20"/>
          <w:szCs w:val="20"/>
        </w:rPr>
        <w:t xml:space="preserve"> </w:t>
      </w:r>
      <w:r w:rsidRPr="005E7B17">
        <w:rPr>
          <w:sz w:val="20"/>
          <w:szCs w:val="20"/>
        </w:rPr>
        <w:t>for</w:t>
      </w:r>
      <w:r w:rsidRPr="005E7B17">
        <w:rPr>
          <w:spacing w:val="-1"/>
          <w:sz w:val="20"/>
          <w:szCs w:val="20"/>
        </w:rPr>
        <w:t xml:space="preserve"> </w:t>
      </w:r>
      <w:r w:rsidRPr="005E7B17">
        <w:rPr>
          <w:sz w:val="20"/>
          <w:szCs w:val="20"/>
        </w:rPr>
        <w:t>the</w:t>
      </w:r>
      <w:r w:rsidRPr="005E7B17">
        <w:rPr>
          <w:spacing w:val="-3"/>
          <w:sz w:val="20"/>
          <w:szCs w:val="20"/>
        </w:rPr>
        <w:t xml:space="preserve"> </w:t>
      </w:r>
      <w:r w:rsidRPr="005E7B17">
        <w:rPr>
          <w:sz w:val="20"/>
          <w:szCs w:val="20"/>
        </w:rPr>
        <w:t>Crown</w:t>
      </w:r>
      <w:r w:rsidRPr="005E7B17">
        <w:rPr>
          <w:spacing w:val="-2"/>
          <w:sz w:val="20"/>
          <w:szCs w:val="20"/>
        </w:rPr>
        <w:t xml:space="preserve"> </w:t>
      </w:r>
      <w:r w:rsidRPr="005E7B17">
        <w:rPr>
          <w:sz w:val="20"/>
          <w:szCs w:val="20"/>
        </w:rPr>
        <w:t>to</w:t>
      </w:r>
      <w:r w:rsidRPr="005E7B17">
        <w:rPr>
          <w:spacing w:val="-1"/>
          <w:sz w:val="20"/>
          <w:szCs w:val="20"/>
        </w:rPr>
        <w:t xml:space="preserve"> </w:t>
      </w:r>
      <w:r w:rsidRPr="005E7B17">
        <w:rPr>
          <w:sz w:val="20"/>
          <w:szCs w:val="20"/>
        </w:rPr>
        <w:t>begin</w:t>
      </w:r>
      <w:r w:rsidR="0079024E">
        <w:rPr>
          <w:sz w:val="20"/>
          <w:szCs w:val="20"/>
        </w:rPr>
        <w:t>’</w:t>
      </w:r>
      <w:r w:rsidRPr="005E7B17">
        <w:rPr>
          <w:sz w:val="20"/>
          <w:szCs w:val="20"/>
        </w:rPr>
        <w:t>.</w:t>
      </w:r>
    </w:p>
  </w:footnote>
  <w:footnote w:id="25">
    <w:p w14:paraId="62033ECA" w14:textId="7F39B5DC"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See</w:t>
      </w:r>
      <w:r w:rsidRPr="005E7B17">
        <w:rPr>
          <w:spacing w:val="-1"/>
          <w:sz w:val="20"/>
          <w:szCs w:val="20"/>
        </w:rPr>
        <w:t xml:space="preserve"> </w:t>
      </w:r>
      <w:r w:rsidRPr="005E7B17">
        <w:rPr>
          <w:i/>
          <w:sz w:val="20"/>
          <w:szCs w:val="20"/>
        </w:rPr>
        <w:t>Kesavarajah</w:t>
      </w:r>
      <w:r w:rsidR="00546775">
        <w:rPr>
          <w:sz w:val="20"/>
          <w:szCs w:val="20"/>
        </w:rPr>
        <w:t xml:space="preserve"> (n 8) </w:t>
      </w:r>
      <w:r w:rsidRPr="005E7B17">
        <w:rPr>
          <w:sz w:val="20"/>
          <w:szCs w:val="20"/>
        </w:rPr>
        <w:t>242,</w:t>
      </w:r>
      <w:r w:rsidRPr="005E7B17">
        <w:rPr>
          <w:spacing w:val="-2"/>
          <w:sz w:val="20"/>
          <w:szCs w:val="20"/>
        </w:rPr>
        <w:t xml:space="preserve"> </w:t>
      </w:r>
      <w:r w:rsidRPr="005E7B17">
        <w:rPr>
          <w:sz w:val="20"/>
          <w:szCs w:val="20"/>
        </w:rPr>
        <w:t>for</w:t>
      </w:r>
      <w:r w:rsidRPr="005E7B17">
        <w:rPr>
          <w:spacing w:val="-1"/>
          <w:sz w:val="20"/>
          <w:szCs w:val="20"/>
        </w:rPr>
        <w:t xml:space="preserve"> </w:t>
      </w:r>
      <w:r w:rsidRPr="005E7B17">
        <w:rPr>
          <w:sz w:val="20"/>
          <w:szCs w:val="20"/>
        </w:rPr>
        <w:t>discussion</w:t>
      </w:r>
      <w:r w:rsidRPr="005E7B17">
        <w:rPr>
          <w:spacing w:val="-2"/>
          <w:sz w:val="20"/>
          <w:szCs w:val="20"/>
        </w:rPr>
        <w:t xml:space="preserve"> </w:t>
      </w:r>
      <w:r w:rsidRPr="005E7B17">
        <w:rPr>
          <w:sz w:val="20"/>
          <w:szCs w:val="20"/>
        </w:rPr>
        <w:t>by</w:t>
      </w:r>
      <w:r w:rsidRPr="005E7B17">
        <w:rPr>
          <w:spacing w:val="-2"/>
          <w:sz w:val="20"/>
          <w:szCs w:val="20"/>
        </w:rPr>
        <w:t xml:space="preserve"> </w:t>
      </w:r>
      <w:r w:rsidRPr="005E7B17">
        <w:rPr>
          <w:sz w:val="20"/>
          <w:szCs w:val="20"/>
        </w:rPr>
        <w:t>the</w:t>
      </w:r>
      <w:r w:rsidRPr="005E7B17">
        <w:rPr>
          <w:spacing w:val="-2"/>
          <w:sz w:val="20"/>
          <w:szCs w:val="20"/>
        </w:rPr>
        <w:t xml:space="preserve"> </w:t>
      </w:r>
      <w:r w:rsidRPr="005E7B17">
        <w:rPr>
          <w:sz w:val="20"/>
          <w:szCs w:val="20"/>
        </w:rPr>
        <w:t>High</w:t>
      </w:r>
      <w:r w:rsidRPr="005E7B17">
        <w:rPr>
          <w:spacing w:val="-2"/>
          <w:sz w:val="20"/>
          <w:szCs w:val="20"/>
        </w:rPr>
        <w:t xml:space="preserve"> </w:t>
      </w:r>
      <w:r w:rsidRPr="005E7B17">
        <w:rPr>
          <w:sz w:val="20"/>
          <w:szCs w:val="20"/>
        </w:rPr>
        <w:t>Court</w:t>
      </w:r>
      <w:r w:rsidRPr="005E7B17">
        <w:rPr>
          <w:spacing w:val="-2"/>
          <w:sz w:val="20"/>
          <w:szCs w:val="20"/>
        </w:rPr>
        <w:t xml:space="preserve"> </w:t>
      </w:r>
      <w:r w:rsidRPr="005E7B17">
        <w:rPr>
          <w:sz w:val="20"/>
          <w:szCs w:val="20"/>
        </w:rPr>
        <w:t>as</w:t>
      </w:r>
      <w:r w:rsidRPr="005E7B17">
        <w:rPr>
          <w:spacing w:val="-3"/>
          <w:sz w:val="20"/>
          <w:szCs w:val="20"/>
        </w:rPr>
        <w:t xml:space="preserve"> </w:t>
      </w:r>
      <w:r w:rsidRPr="005E7B17">
        <w:rPr>
          <w:sz w:val="20"/>
          <w:szCs w:val="20"/>
        </w:rPr>
        <w:t>to</w:t>
      </w:r>
      <w:r w:rsidRPr="005E7B17">
        <w:rPr>
          <w:spacing w:val="-1"/>
          <w:sz w:val="20"/>
          <w:szCs w:val="20"/>
        </w:rPr>
        <w:t xml:space="preserve"> </w:t>
      </w:r>
      <w:r w:rsidRPr="005E7B17">
        <w:rPr>
          <w:sz w:val="20"/>
          <w:szCs w:val="20"/>
        </w:rPr>
        <w:t>which references</w:t>
      </w:r>
      <w:r w:rsidRPr="005E7B17">
        <w:rPr>
          <w:spacing w:val="-2"/>
          <w:sz w:val="20"/>
          <w:szCs w:val="20"/>
        </w:rPr>
        <w:t xml:space="preserve"> </w:t>
      </w:r>
      <w:r w:rsidRPr="005E7B17">
        <w:rPr>
          <w:sz w:val="20"/>
          <w:szCs w:val="20"/>
        </w:rPr>
        <w:t>to</w:t>
      </w:r>
      <w:r w:rsidRPr="005E7B17">
        <w:rPr>
          <w:spacing w:val="-2"/>
          <w:sz w:val="20"/>
          <w:szCs w:val="20"/>
        </w:rPr>
        <w:t xml:space="preserve"> </w:t>
      </w:r>
      <w:r w:rsidRPr="005E7B17">
        <w:rPr>
          <w:sz w:val="20"/>
          <w:szCs w:val="20"/>
        </w:rPr>
        <w:t>the</w:t>
      </w:r>
      <w:r w:rsidRPr="005E7B17">
        <w:rPr>
          <w:spacing w:val="-2"/>
          <w:sz w:val="20"/>
          <w:szCs w:val="20"/>
        </w:rPr>
        <w:t xml:space="preserve"> </w:t>
      </w:r>
      <w:r w:rsidRPr="005E7B17">
        <w:rPr>
          <w:sz w:val="20"/>
          <w:szCs w:val="20"/>
        </w:rPr>
        <w:t>‘Court’</w:t>
      </w:r>
      <w:r w:rsidRPr="005E7B17">
        <w:rPr>
          <w:spacing w:val="-1"/>
          <w:sz w:val="20"/>
          <w:szCs w:val="20"/>
        </w:rPr>
        <w:t xml:space="preserve"> </w:t>
      </w:r>
      <w:r w:rsidRPr="005E7B17">
        <w:rPr>
          <w:sz w:val="20"/>
          <w:szCs w:val="20"/>
        </w:rPr>
        <w:t xml:space="preserve">in </w:t>
      </w:r>
      <w:r w:rsidR="00546775">
        <w:rPr>
          <w:sz w:val="20"/>
          <w:szCs w:val="20"/>
        </w:rPr>
        <w:t>pt</w:t>
      </w:r>
      <w:r w:rsidRPr="005E7B17">
        <w:rPr>
          <w:spacing w:val="-3"/>
          <w:sz w:val="20"/>
          <w:szCs w:val="20"/>
        </w:rPr>
        <w:t xml:space="preserve"> </w:t>
      </w:r>
      <w:r w:rsidR="000406DC">
        <w:rPr>
          <w:sz w:val="20"/>
          <w:szCs w:val="20"/>
        </w:rPr>
        <w:t>I</w:t>
      </w:r>
      <w:r w:rsidRPr="005E7B17">
        <w:rPr>
          <w:sz w:val="20"/>
          <w:szCs w:val="20"/>
        </w:rPr>
        <w:t>B</w:t>
      </w:r>
      <w:r w:rsidRPr="005E7B17">
        <w:rPr>
          <w:spacing w:val="-1"/>
          <w:sz w:val="20"/>
          <w:szCs w:val="20"/>
        </w:rPr>
        <w:t xml:space="preserve"> </w:t>
      </w:r>
      <w:r w:rsidR="00546775">
        <w:rPr>
          <w:sz w:val="20"/>
          <w:szCs w:val="20"/>
        </w:rPr>
        <w:t>d</w:t>
      </w:r>
      <w:r w:rsidRPr="005E7B17">
        <w:rPr>
          <w:sz w:val="20"/>
          <w:szCs w:val="20"/>
        </w:rPr>
        <w:t>iv</w:t>
      </w:r>
      <w:r w:rsidRPr="005E7B17">
        <w:rPr>
          <w:spacing w:val="-2"/>
          <w:sz w:val="20"/>
          <w:szCs w:val="20"/>
        </w:rPr>
        <w:t xml:space="preserve"> </w:t>
      </w:r>
      <w:r w:rsidRPr="005E7B17">
        <w:rPr>
          <w:sz w:val="20"/>
          <w:szCs w:val="20"/>
        </w:rPr>
        <w:t>6 mean</w:t>
      </w:r>
      <w:r w:rsidRPr="005E7B17">
        <w:rPr>
          <w:spacing w:val="-2"/>
          <w:sz w:val="20"/>
          <w:szCs w:val="20"/>
        </w:rPr>
        <w:t xml:space="preserve"> </w:t>
      </w:r>
      <w:r w:rsidRPr="005E7B17">
        <w:rPr>
          <w:sz w:val="20"/>
          <w:szCs w:val="20"/>
        </w:rPr>
        <w:t>‘judge’,</w:t>
      </w:r>
      <w:r w:rsidRPr="005E7B17">
        <w:rPr>
          <w:spacing w:val="-1"/>
          <w:sz w:val="20"/>
          <w:szCs w:val="20"/>
        </w:rPr>
        <w:t xml:space="preserve"> </w:t>
      </w:r>
      <w:r w:rsidRPr="005E7B17">
        <w:rPr>
          <w:sz w:val="20"/>
          <w:szCs w:val="20"/>
        </w:rPr>
        <w:t>and</w:t>
      </w:r>
      <w:r w:rsidRPr="005E7B17">
        <w:rPr>
          <w:spacing w:val="-2"/>
          <w:sz w:val="20"/>
          <w:szCs w:val="20"/>
        </w:rPr>
        <w:t xml:space="preserve"> </w:t>
      </w:r>
      <w:r w:rsidRPr="005E7B17">
        <w:rPr>
          <w:sz w:val="20"/>
          <w:szCs w:val="20"/>
        </w:rPr>
        <w:t>which</w:t>
      </w:r>
      <w:r w:rsidRPr="005E7B17">
        <w:rPr>
          <w:spacing w:val="-2"/>
          <w:sz w:val="20"/>
          <w:szCs w:val="20"/>
        </w:rPr>
        <w:t xml:space="preserve"> </w:t>
      </w:r>
      <w:r w:rsidRPr="005E7B17">
        <w:rPr>
          <w:sz w:val="20"/>
          <w:szCs w:val="20"/>
        </w:rPr>
        <w:t>references</w:t>
      </w:r>
      <w:r w:rsidRPr="005E7B17">
        <w:rPr>
          <w:spacing w:val="-2"/>
          <w:sz w:val="20"/>
          <w:szCs w:val="20"/>
        </w:rPr>
        <w:t xml:space="preserve"> </w:t>
      </w:r>
      <w:r w:rsidRPr="005E7B17">
        <w:rPr>
          <w:sz w:val="20"/>
          <w:szCs w:val="20"/>
        </w:rPr>
        <w:t>mean</w:t>
      </w:r>
      <w:r w:rsidRPr="005E7B17">
        <w:rPr>
          <w:spacing w:val="-2"/>
          <w:sz w:val="20"/>
          <w:szCs w:val="20"/>
        </w:rPr>
        <w:t xml:space="preserve"> </w:t>
      </w:r>
      <w:r w:rsidRPr="005E7B17">
        <w:rPr>
          <w:sz w:val="20"/>
          <w:szCs w:val="20"/>
        </w:rPr>
        <w:t>‘jury’.</w:t>
      </w:r>
    </w:p>
  </w:footnote>
  <w:footnote w:id="26">
    <w:p w14:paraId="318CAF90" w14:textId="77777777"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Note</w:t>
      </w:r>
      <w:r w:rsidRPr="005E7B17">
        <w:rPr>
          <w:color w:val="auto"/>
          <w:spacing w:val="-3"/>
        </w:rPr>
        <w:t xml:space="preserve"> </w:t>
      </w:r>
      <w:r w:rsidRPr="005E7B17">
        <w:rPr>
          <w:color w:val="auto"/>
        </w:rPr>
        <w:t>that</w:t>
      </w:r>
      <w:r w:rsidRPr="005E7B17">
        <w:rPr>
          <w:color w:val="auto"/>
          <w:spacing w:val="-2"/>
        </w:rPr>
        <w:t xml:space="preserve"> </w:t>
      </w:r>
      <w:r w:rsidRPr="005E7B17">
        <w:rPr>
          <w:color w:val="auto"/>
        </w:rPr>
        <w:t>in New</w:t>
      </w:r>
      <w:r w:rsidRPr="005E7B17">
        <w:rPr>
          <w:color w:val="auto"/>
          <w:spacing w:val="-1"/>
        </w:rPr>
        <w:t xml:space="preserve"> </w:t>
      </w:r>
      <w:r w:rsidRPr="005E7B17">
        <w:rPr>
          <w:color w:val="auto"/>
        </w:rPr>
        <w:t>South</w:t>
      </w:r>
      <w:r w:rsidRPr="005E7B17">
        <w:rPr>
          <w:color w:val="auto"/>
          <w:spacing w:val="-2"/>
        </w:rPr>
        <w:t xml:space="preserve"> </w:t>
      </w:r>
      <w:r w:rsidRPr="005E7B17">
        <w:rPr>
          <w:color w:val="auto"/>
        </w:rPr>
        <w:t>Wales</w:t>
      </w:r>
      <w:r w:rsidRPr="005E7B17">
        <w:rPr>
          <w:color w:val="auto"/>
          <w:spacing w:val="-2"/>
        </w:rPr>
        <w:t xml:space="preserve"> </w:t>
      </w:r>
      <w:r w:rsidRPr="005E7B17">
        <w:rPr>
          <w:color w:val="auto"/>
        </w:rPr>
        <w:t>and</w:t>
      </w:r>
      <w:r w:rsidRPr="005E7B17">
        <w:rPr>
          <w:color w:val="auto"/>
          <w:spacing w:val="-2"/>
        </w:rPr>
        <w:t xml:space="preserve"> </w:t>
      </w:r>
      <w:r w:rsidRPr="005E7B17">
        <w:rPr>
          <w:color w:val="auto"/>
        </w:rPr>
        <w:t>the</w:t>
      </w:r>
      <w:r w:rsidRPr="005E7B17">
        <w:rPr>
          <w:color w:val="auto"/>
          <w:spacing w:val="-2"/>
        </w:rPr>
        <w:t xml:space="preserve"> </w:t>
      </w:r>
      <w:r w:rsidRPr="005E7B17">
        <w:rPr>
          <w:color w:val="auto"/>
        </w:rPr>
        <w:t>Northern</w:t>
      </w:r>
      <w:r w:rsidRPr="005E7B17">
        <w:rPr>
          <w:color w:val="auto"/>
          <w:spacing w:val="-3"/>
        </w:rPr>
        <w:t xml:space="preserve"> </w:t>
      </w:r>
      <w:r w:rsidRPr="005E7B17">
        <w:rPr>
          <w:color w:val="auto"/>
        </w:rPr>
        <w:t>Territory</w:t>
      </w:r>
      <w:r w:rsidRPr="005E7B17">
        <w:rPr>
          <w:color w:val="auto"/>
          <w:spacing w:val="1"/>
        </w:rPr>
        <w:t xml:space="preserve"> </w:t>
      </w:r>
      <w:r w:rsidRPr="005E7B17">
        <w:rPr>
          <w:color w:val="auto"/>
        </w:rPr>
        <w:t>this</w:t>
      </w:r>
      <w:r w:rsidRPr="005E7B17">
        <w:rPr>
          <w:color w:val="auto"/>
          <w:spacing w:val="-2"/>
        </w:rPr>
        <w:t xml:space="preserve"> </w:t>
      </w:r>
      <w:r w:rsidRPr="005E7B17">
        <w:rPr>
          <w:color w:val="auto"/>
        </w:rPr>
        <w:t>will</w:t>
      </w:r>
      <w:r w:rsidRPr="005E7B17">
        <w:rPr>
          <w:color w:val="auto"/>
          <w:spacing w:val="-2"/>
        </w:rPr>
        <w:t xml:space="preserve"> </w:t>
      </w:r>
      <w:r w:rsidRPr="005E7B17">
        <w:rPr>
          <w:color w:val="auto"/>
        </w:rPr>
        <w:t>be</w:t>
      </w:r>
      <w:r w:rsidRPr="005E7B17">
        <w:rPr>
          <w:color w:val="auto"/>
          <w:spacing w:val="-1"/>
        </w:rPr>
        <w:t xml:space="preserve"> </w:t>
      </w:r>
      <w:r w:rsidRPr="005E7B17">
        <w:rPr>
          <w:color w:val="auto"/>
        </w:rPr>
        <w:t>the</w:t>
      </w:r>
      <w:r w:rsidRPr="005E7B17">
        <w:rPr>
          <w:color w:val="auto"/>
          <w:spacing w:val="-2"/>
        </w:rPr>
        <w:t xml:space="preserve"> </w:t>
      </w:r>
      <w:r w:rsidRPr="005E7B17">
        <w:rPr>
          <w:color w:val="auto"/>
        </w:rPr>
        <w:t>Local</w:t>
      </w:r>
      <w:r w:rsidRPr="005E7B17">
        <w:rPr>
          <w:color w:val="auto"/>
          <w:spacing w:val="-2"/>
        </w:rPr>
        <w:t xml:space="preserve"> </w:t>
      </w:r>
      <w:r w:rsidRPr="005E7B17">
        <w:rPr>
          <w:color w:val="auto"/>
        </w:rPr>
        <w:t>Court,</w:t>
      </w:r>
      <w:r w:rsidRPr="005E7B17">
        <w:rPr>
          <w:color w:val="auto"/>
          <w:spacing w:val="-1"/>
        </w:rPr>
        <w:t xml:space="preserve"> </w:t>
      </w:r>
      <w:r w:rsidRPr="005E7B17">
        <w:rPr>
          <w:color w:val="auto"/>
        </w:rPr>
        <w:t>rather</w:t>
      </w:r>
      <w:r w:rsidRPr="005E7B17">
        <w:rPr>
          <w:color w:val="auto"/>
          <w:spacing w:val="-2"/>
        </w:rPr>
        <w:t xml:space="preserve"> </w:t>
      </w:r>
      <w:r w:rsidRPr="005E7B17">
        <w:rPr>
          <w:color w:val="auto"/>
        </w:rPr>
        <w:t>than</w:t>
      </w:r>
      <w:r w:rsidRPr="005E7B17">
        <w:rPr>
          <w:color w:val="auto"/>
          <w:spacing w:val="-2"/>
        </w:rPr>
        <w:t xml:space="preserve"> </w:t>
      </w:r>
      <w:r w:rsidRPr="005E7B17">
        <w:rPr>
          <w:color w:val="auto"/>
        </w:rPr>
        <w:t>the</w:t>
      </w:r>
      <w:r w:rsidRPr="005E7B17">
        <w:rPr>
          <w:color w:val="auto"/>
          <w:spacing w:val="-1"/>
        </w:rPr>
        <w:t xml:space="preserve"> </w:t>
      </w:r>
      <w:r w:rsidRPr="005E7B17">
        <w:rPr>
          <w:color w:val="auto"/>
        </w:rPr>
        <w:t>Magistrates</w:t>
      </w:r>
      <w:r w:rsidRPr="005E7B17">
        <w:rPr>
          <w:color w:val="auto"/>
          <w:spacing w:val="-2"/>
        </w:rPr>
        <w:t xml:space="preserve"> </w:t>
      </w:r>
      <w:r w:rsidRPr="005E7B17">
        <w:rPr>
          <w:color w:val="auto"/>
        </w:rPr>
        <w:t>Court.</w:t>
      </w:r>
    </w:p>
  </w:footnote>
  <w:footnote w:id="27">
    <w:p w14:paraId="21688308" w14:textId="2C7CDEB4"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i/>
          <w:color w:val="auto"/>
        </w:rPr>
        <w:t>Sharrouf</w:t>
      </w:r>
      <w:r w:rsidRPr="005E7B17">
        <w:rPr>
          <w:i/>
          <w:color w:val="auto"/>
          <w:spacing w:val="-1"/>
        </w:rPr>
        <w:t xml:space="preserve"> </w:t>
      </w:r>
      <w:r w:rsidR="0079024E">
        <w:rPr>
          <w:i/>
          <w:color w:val="auto"/>
        </w:rPr>
        <w:t>(</w:t>
      </w:r>
      <w:r w:rsidRPr="005E7B17">
        <w:rPr>
          <w:i/>
          <w:color w:val="auto"/>
        </w:rPr>
        <w:t>No</w:t>
      </w:r>
      <w:r w:rsidRPr="005E7B17">
        <w:rPr>
          <w:i/>
          <w:color w:val="auto"/>
          <w:spacing w:val="1"/>
        </w:rPr>
        <w:t xml:space="preserve"> </w:t>
      </w:r>
      <w:r w:rsidRPr="005E7B17">
        <w:rPr>
          <w:i/>
          <w:color w:val="auto"/>
        </w:rPr>
        <w:t>2</w:t>
      </w:r>
      <w:r w:rsidR="0079024E">
        <w:rPr>
          <w:i/>
          <w:color w:val="auto"/>
        </w:rPr>
        <w:t>)</w:t>
      </w:r>
      <w:r w:rsidRPr="005E7B17">
        <w:rPr>
          <w:color w:val="auto"/>
          <w:spacing w:val="-2"/>
        </w:rPr>
        <w:t xml:space="preserve"> </w:t>
      </w:r>
      <w:r w:rsidR="0079024E">
        <w:rPr>
          <w:color w:val="auto"/>
          <w:spacing w:val="-2"/>
        </w:rPr>
        <w:t xml:space="preserve">(n 8) </w:t>
      </w:r>
      <w:r w:rsidRPr="005E7B17">
        <w:rPr>
          <w:color w:val="auto"/>
        </w:rPr>
        <w:t>[51].</w:t>
      </w:r>
    </w:p>
  </w:footnote>
  <w:footnote w:id="28">
    <w:p w14:paraId="4177A0E6" w14:textId="7E7204BD"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In </w:t>
      </w:r>
      <w:r w:rsidRPr="005E7B17">
        <w:rPr>
          <w:i/>
          <w:color w:val="auto"/>
        </w:rPr>
        <w:t>Kesavarajah</w:t>
      </w:r>
      <w:r w:rsidR="0079024E">
        <w:rPr>
          <w:i/>
          <w:color w:val="auto"/>
        </w:rPr>
        <w:t xml:space="preserve"> </w:t>
      </w:r>
      <w:r w:rsidR="0079024E" w:rsidRPr="00BF0AD5">
        <w:rPr>
          <w:iCs/>
          <w:color w:val="auto"/>
        </w:rPr>
        <w:t>(n 8)</w:t>
      </w:r>
      <w:r w:rsidR="0079024E">
        <w:rPr>
          <w:i/>
          <w:color w:val="auto"/>
        </w:rPr>
        <w:t xml:space="preserve">, </w:t>
      </w:r>
      <w:r w:rsidRPr="005E7B17">
        <w:rPr>
          <w:color w:val="auto"/>
        </w:rPr>
        <w:t xml:space="preserve">the court determined that the first reference to a </w:t>
      </w:r>
      <w:r w:rsidR="0079024E">
        <w:rPr>
          <w:color w:val="auto"/>
        </w:rPr>
        <w:t>’</w:t>
      </w:r>
      <w:r w:rsidRPr="005E7B17">
        <w:rPr>
          <w:color w:val="auto"/>
        </w:rPr>
        <w:t>court</w:t>
      </w:r>
      <w:r w:rsidR="0079024E">
        <w:rPr>
          <w:color w:val="auto"/>
        </w:rPr>
        <w:t>’</w:t>
      </w:r>
      <w:r w:rsidRPr="005E7B17">
        <w:rPr>
          <w:color w:val="auto"/>
        </w:rPr>
        <w:t xml:space="preserve"> in s 20B(3) refers to a jury, however the second</w:t>
      </w:r>
      <w:r w:rsidR="0079024E">
        <w:rPr>
          <w:color w:val="auto"/>
        </w:rPr>
        <w:t xml:space="preserve"> </w:t>
      </w:r>
      <w:r w:rsidRPr="005E7B17">
        <w:rPr>
          <w:color w:val="auto"/>
          <w:spacing w:val="-38"/>
        </w:rPr>
        <w:t xml:space="preserve"> </w:t>
      </w:r>
      <w:r w:rsidRPr="005E7B17">
        <w:rPr>
          <w:color w:val="auto"/>
        </w:rPr>
        <w:t>reference</w:t>
      </w:r>
      <w:r w:rsidRPr="005E7B17">
        <w:rPr>
          <w:color w:val="auto"/>
          <w:spacing w:val="-2"/>
        </w:rPr>
        <w:t xml:space="preserve"> </w:t>
      </w:r>
      <w:r w:rsidRPr="005E7B17">
        <w:rPr>
          <w:color w:val="auto"/>
        </w:rPr>
        <w:t xml:space="preserve">to </w:t>
      </w:r>
      <w:r w:rsidR="0079024E">
        <w:rPr>
          <w:color w:val="auto"/>
        </w:rPr>
        <w:t>‘</w:t>
      </w:r>
      <w:r w:rsidRPr="005E7B17">
        <w:rPr>
          <w:color w:val="auto"/>
        </w:rPr>
        <w:t>court</w:t>
      </w:r>
      <w:r w:rsidR="0079024E">
        <w:rPr>
          <w:color w:val="auto"/>
        </w:rPr>
        <w:t>’</w:t>
      </w:r>
      <w:r w:rsidRPr="005E7B17">
        <w:rPr>
          <w:color w:val="auto"/>
          <w:spacing w:val="-1"/>
        </w:rPr>
        <w:t xml:space="preserve"> </w:t>
      </w:r>
      <w:r w:rsidRPr="005E7B17">
        <w:rPr>
          <w:color w:val="auto"/>
        </w:rPr>
        <w:t>refers</w:t>
      </w:r>
      <w:r w:rsidRPr="005E7B17">
        <w:rPr>
          <w:color w:val="auto"/>
          <w:spacing w:val="-2"/>
        </w:rPr>
        <w:t xml:space="preserve"> </w:t>
      </w:r>
      <w:r w:rsidRPr="005E7B17">
        <w:rPr>
          <w:color w:val="auto"/>
        </w:rPr>
        <w:t>to a</w:t>
      </w:r>
      <w:r w:rsidRPr="005E7B17">
        <w:rPr>
          <w:color w:val="auto"/>
          <w:spacing w:val="-1"/>
        </w:rPr>
        <w:t xml:space="preserve"> </w:t>
      </w:r>
      <w:r w:rsidRPr="005E7B17">
        <w:rPr>
          <w:color w:val="auto"/>
        </w:rPr>
        <w:t>judge.</w:t>
      </w:r>
    </w:p>
  </w:footnote>
  <w:footnote w:id="29">
    <w:p w14:paraId="18B568FF" w14:textId="2594122C"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w:t>
      </w:r>
      <w:r w:rsidRPr="005E7B17">
        <w:rPr>
          <w:i/>
          <w:sz w:val="20"/>
          <w:szCs w:val="20"/>
        </w:rPr>
        <w:t>Sharrouf</w:t>
      </w:r>
      <w:r w:rsidRPr="005E7B17">
        <w:rPr>
          <w:i/>
          <w:spacing w:val="-3"/>
          <w:sz w:val="20"/>
          <w:szCs w:val="20"/>
        </w:rPr>
        <w:t xml:space="preserve"> </w:t>
      </w:r>
      <w:r w:rsidR="002234ED">
        <w:rPr>
          <w:i/>
          <w:sz w:val="20"/>
          <w:szCs w:val="20"/>
        </w:rPr>
        <w:t>(</w:t>
      </w:r>
      <w:r w:rsidRPr="005E7B17">
        <w:rPr>
          <w:i/>
          <w:sz w:val="20"/>
          <w:szCs w:val="20"/>
        </w:rPr>
        <w:t>No 2</w:t>
      </w:r>
      <w:r w:rsidR="002234ED">
        <w:rPr>
          <w:i/>
          <w:sz w:val="20"/>
          <w:szCs w:val="20"/>
        </w:rPr>
        <w:t>)</w:t>
      </w:r>
      <w:r w:rsidR="002234ED">
        <w:rPr>
          <w:spacing w:val="-2"/>
          <w:sz w:val="20"/>
          <w:szCs w:val="20"/>
        </w:rPr>
        <w:t xml:space="preserve"> (n 8) </w:t>
      </w:r>
      <w:r w:rsidRPr="005E7B17">
        <w:rPr>
          <w:sz w:val="20"/>
          <w:szCs w:val="20"/>
        </w:rPr>
        <w:t>[49].</w:t>
      </w:r>
    </w:p>
  </w:footnote>
  <w:footnote w:id="30">
    <w:p w14:paraId="0289BEA1" w14:textId="42FC96AD"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w:t>
      </w:r>
      <w:r w:rsidR="00CE351A">
        <w:rPr>
          <w:iCs/>
          <w:sz w:val="20"/>
          <w:szCs w:val="20"/>
        </w:rPr>
        <w:t>Ibid</w:t>
      </w:r>
      <w:r w:rsidRPr="005E7B17">
        <w:rPr>
          <w:spacing w:val="-1"/>
          <w:sz w:val="20"/>
          <w:szCs w:val="20"/>
        </w:rPr>
        <w:t xml:space="preserve"> </w:t>
      </w:r>
      <w:r w:rsidRPr="005E7B17">
        <w:rPr>
          <w:sz w:val="20"/>
          <w:szCs w:val="20"/>
        </w:rPr>
        <w:t>[55]</w:t>
      </w:r>
      <w:r w:rsidR="00CE351A">
        <w:rPr>
          <w:spacing w:val="-3"/>
          <w:sz w:val="20"/>
          <w:szCs w:val="20"/>
        </w:rPr>
        <w:t xml:space="preserve">, </w:t>
      </w:r>
      <w:r w:rsidRPr="005E7B17">
        <w:rPr>
          <w:sz w:val="20"/>
          <w:szCs w:val="20"/>
        </w:rPr>
        <w:t>[68].</w:t>
      </w:r>
    </w:p>
  </w:footnote>
  <w:footnote w:id="31">
    <w:p w14:paraId="7962DE9B" w14:textId="3D63E0E5"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00CE351A">
        <w:rPr>
          <w:color w:val="auto"/>
        </w:rPr>
        <w:t xml:space="preserve">Ibid </w:t>
      </w:r>
      <w:r w:rsidRPr="005E7B17">
        <w:rPr>
          <w:color w:val="auto"/>
        </w:rPr>
        <w:t>[47].</w:t>
      </w:r>
    </w:p>
  </w:footnote>
  <w:footnote w:id="32">
    <w:p w14:paraId="42B08716" w14:textId="30327A08"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Note that this requires an identical test to s 19B of the </w:t>
      </w:r>
      <w:r w:rsidR="0026548A" w:rsidRPr="0026548A">
        <w:rPr>
          <w:i/>
          <w:color w:val="auto"/>
        </w:rPr>
        <w:t>Crimes Act</w:t>
      </w:r>
      <w:r w:rsidR="0024203C">
        <w:rPr>
          <w:color w:val="auto"/>
        </w:rPr>
        <w:t xml:space="preserve"> (</w:t>
      </w:r>
      <w:r w:rsidRPr="005E7B17">
        <w:rPr>
          <w:color w:val="auto"/>
        </w:rPr>
        <w:t>being a provision of the Act relating to</w:t>
      </w:r>
      <w:r w:rsidR="0024203C">
        <w:rPr>
          <w:color w:val="auto"/>
        </w:rPr>
        <w:t xml:space="preserve"> </w:t>
      </w:r>
      <w:r w:rsidRPr="005E7B17">
        <w:rPr>
          <w:color w:val="auto"/>
          <w:spacing w:val="-38"/>
        </w:rPr>
        <w:t xml:space="preserve"> </w:t>
      </w:r>
      <w:r w:rsidRPr="005E7B17">
        <w:rPr>
          <w:color w:val="auto"/>
        </w:rPr>
        <w:t>non-conviction</w:t>
      </w:r>
      <w:r w:rsidRPr="005E7B17">
        <w:rPr>
          <w:color w:val="auto"/>
          <w:spacing w:val="-2"/>
        </w:rPr>
        <w:t xml:space="preserve"> </w:t>
      </w:r>
      <w:r w:rsidRPr="005E7B17">
        <w:rPr>
          <w:color w:val="auto"/>
        </w:rPr>
        <w:t>dismissal</w:t>
      </w:r>
      <w:r w:rsidR="0024203C">
        <w:rPr>
          <w:color w:val="auto"/>
        </w:rPr>
        <w:t>)</w:t>
      </w:r>
      <w:r w:rsidRPr="005E7B17">
        <w:rPr>
          <w:color w:val="auto"/>
        </w:rPr>
        <w:t>.</w:t>
      </w:r>
    </w:p>
  </w:footnote>
  <w:footnote w:id="33">
    <w:p w14:paraId="093B3901" w14:textId="77777777"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See</w:t>
      </w:r>
      <w:r w:rsidRPr="005E7B17">
        <w:rPr>
          <w:color w:val="auto"/>
          <w:spacing w:val="-3"/>
        </w:rPr>
        <w:t xml:space="preserve"> </w:t>
      </w:r>
      <w:r w:rsidRPr="005E7B17">
        <w:rPr>
          <w:color w:val="auto"/>
        </w:rPr>
        <w:t>General</w:t>
      </w:r>
      <w:r w:rsidRPr="005E7B17">
        <w:rPr>
          <w:color w:val="auto"/>
          <w:spacing w:val="-3"/>
        </w:rPr>
        <w:t xml:space="preserve"> </w:t>
      </w:r>
      <w:r w:rsidRPr="005E7B17">
        <w:rPr>
          <w:color w:val="auto"/>
        </w:rPr>
        <w:t>Fact</w:t>
      </w:r>
      <w:r w:rsidRPr="005E7B17">
        <w:rPr>
          <w:color w:val="auto"/>
          <w:spacing w:val="-2"/>
        </w:rPr>
        <w:t xml:space="preserve"> </w:t>
      </w:r>
      <w:r w:rsidRPr="005E7B17">
        <w:rPr>
          <w:color w:val="auto"/>
        </w:rPr>
        <w:t>Sheet,</w:t>
      </w:r>
      <w:r w:rsidRPr="005E7B17">
        <w:rPr>
          <w:color w:val="auto"/>
          <w:spacing w:val="-2"/>
        </w:rPr>
        <w:t xml:space="preserve"> </w:t>
      </w:r>
      <w:r w:rsidRPr="005E7B17">
        <w:rPr>
          <w:color w:val="auto"/>
        </w:rPr>
        <w:t>‘After</w:t>
      </w:r>
      <w:r w:rsidRPr="005E7B17">
        <w:rPr>
          <w:color w:val="auto"/>
          <w:spacing w:val="-3"/>
        </w:rPr>
        <w:t xml:space="preserve"> </w:t>
      </w:r>
      <w:r w:rsidRPr="005E7B17">
        <w:rPr>
          <w:color w:val="auto"/>
        </w:rPr>
        <w:t>Court/Entering</w:t>
      </w:r>
      <w:r w:rsidRPr="005E7B17">
        <w:rPr>
          <w:color w:val="auto"/>
          <w:spacing w:val="-3"/>
        </w:rPr>
        <w:t xml:space="preserve"> </w:t>
      </w:r>
      <w:r w:rsidRPr="005E7B17">
        <w:rPr>
          <w:color w:val="auto"/>
        </w:rPr>
        <w:t>Court</w:t>
      </w:r>
      <w:r w:rsidRPr="005E7B17">
        <w:rPr>
          <w:color w:val="auto"/>
          <w:spacing w:val="-2"/>
        </w:rPr>
        <w:t xml:space="preserve"> </w:t>
      </w:r>
      <w:r w:rsidRPr="005E7B17">
        <w:rPr>
          <w:color w:val="auto"/>
        </w:rPr>
        <w:t>Outcomes’.</w:t>
      </w:r>
    </w:p>
  </w:footnote>
  <w:footnote w:id="34">
    <w:p w14:paraId="3629822B" w14:textId="20EF793C"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Note that s 20BQ is not a summary ‘fitness to plead’ provision. However, it comprises the summary procedure for a perso</w:t>
      </w:r>
      <w:r w:rsidR="0024203C">
        <w:rPr>
          <w:color w:val="auto"/>
        </w:rPr>
        <w:t xml:space="preserve">n </w:t>
      </w:r>
      <w:r w:rsidRPr="005E7B17">
        <w:rPr>
          <w:color w:val="auto"/>
        </w:rPr>
        <w:t>suffering</w:t>
      </w:r>
      <w:r w:rsidRPr="005E7B17">
        <w:rPr>
          <w:color w:val="auto"/>
          <w:spacing w:val="-2"/>
        </w:rPr>
        <w:t xml:space="preserve"> </w:t>
      </w:r>
      <w:r w:rsidRPr="005E7B17">
        <w:rPr>
          <w:color w:val="auto"/>
        </w:rPr>
        <w:t>from a</w:t>
      </w:r>
      <w:r w:rsidRPr="005E7B17">
        <w:rPr>
          <w:color w:val="auto"/>
          <w:spacing w:val="-1"/>
        </w:rPr>
        <w:t xml:space="preserve"> </w:t>
      </w:r>
      <w:r w:rsidRPr="005E7B17">
        <w:rPr>
          <w:color w:val="auto"/>
        </w:rPr>
        <w:t>mental</w:t>
      </w:r>
      <w:r w:rsidRPr="005E7B17">
        <w:rPr>
          <w:color w:val="auto"/>
          <w:spacing w:val="-1"/>
        </w:rPr>
        <w:t xml:space="preserve"> </w:t>
      </w:r>
      <w:r w:rsidRPr="005E7B17">
        <w:rPr>
          <w:color w:val="auto"/>
        </w:rPr>
        <w:t>illness</w:t>
      </w:r>
      <w:r w:rsidRPr="005E7B17">
        <w:rPr>
          <w:color w:val="auto"/>
          <w:spacing w:val="-1"/>
        </w:rPr>
        <w:t xml:space="preserve"> </w:t>
      </w:r>
      <w:r w:rsidRPr="005E7B17">
        <w:rPr>
          <w:color w:val="auto"/>
        </w:rPr>
        <w:t>or intellectual</w:t>
      </w:r>
      <w:r w:rsidRPr="005E7B17">
        <w:rPr>
          <w:color w:val="auto"/>
          <w:spacing w:val="1"/>
        </w:rPr>
        <w:t xml:space="preserve"> </w:t>
      </w:r>
      <w:r w:rsidRPr="005E7B17">
        <w:rPr>
          <w:color w:val="auto"/>
        </w:rPr>
        <w:t>disability at</w:t>
      </w:r>
      <w:r w:rsidRPr="005E7B17">
        <w:rPr>
          <w:color w:val="auto"/>
          <w:spacing w:val="-2"/>
        </w:rPr>
        <w:t xml:space="preserve"> </w:t>
      </w:r>
      <w:r w:rsidRPr="005E7B17">
        <w:rPr>
          <w:color w:val="auto"/>
        </w:rPr>
        <w:t>the</w:t>
      </w:r>
      <w:r w:rsidRPr="005E7B17">
        <w:rPr>
          <w:color w:val="auto"/>
          <w:spacing w:val="-1"/>
        </w:rPr>
        <w:t xml:space="preserve"> </w:t>
      </w:r>
      <w:r w:rsidRPr="005E7B17">
        <w:rPr>
          <w:color w:val="auto"/>
        </w:rPr>
        <w:t>time of</w:t>
      </w:r>
      <w:r w:rsidRPr="005E7B17">
        <w:rPr>
          <w:color w:val="auto"/>
          <w:spacing w:val="-1"/>
        </w:rPr>
        <w:t xml:space="preserve"> </w:t>
      </w:r>
      <w:r w:rsidRPr="005E7B17">
        <w:rPr>
          <w:color w:val="auto"/>
        </w:rPr>
        <w:t>a s</w:t>
      </w:r>
      <w:r w:rsidR="0024203C">
        <w:rPr>
          <w:color w:val="auto"/>
        </w:rPr>
        <w:t xml:space="preserve"> </w:t>
      </w:r>
      <w:r w:rsidRPr="005E7B17">
        <w:rPr>
          <w:color w:val="auto"/>
        </w:rPr>
        <w:t>20BQ application.</w:t>
      </w:r>
    </w:p>
  </w:footnote>
  <w:footnote w:id="35">
    <w:p w14:paraId="71737BF1" w14:textId="031ADFAD"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i/>
          <w:color w:val="auto"/>
        </w:rPr>
        <w:t>Morrison</w:t>
      </w:r>
      <w:r w:rsidRPr="005E7B17">
        <w:rPr>
          <w:i/>
          <w:color w:val="auto"/>
          <w:spacing w:val="-2"/>
        </w:rPr>
        <w:t xml:space="preserve"> </w:t>
      </w:r>
      <w:r w:rsidRPr="005E7B17">
        <w:rPr>
          <w:i/>
          <w:color w:val="auto"/>
        </w:rPr>
        <w:t>v</w:t>
      </w:r>
      <w:r w:rsidRPr="005E7B17">
        <w:rPr>
          <w:i/>
          <w:color w:val="auto"/>
          <w:spacing w:val="-3"/>
        </w:rPr>
        <w:t xml:space="preserve"> </w:t>
      </w:r>
      <w:r w:rsidRPr="005E7B17">
        <w:rPr>
          <w:i/>
          <w:color w:val="auto"/>
        </w:rPr>
        <w:t xml:space="preserve">Behrooz </w:t>
      </w:r>
      <w:r w:rsidRPr="005E7B17">
        <w:rPr>
          <w:color w:val="auto"/>
        </w:rPr>
        <w:t>[2005]</w:t>
      </w:r>
      <w:r w:rsidRPr="005E7B17">
        <w:rPr>
          <w:color w:val="auto"/>
          <w:spacing w:val="-2"/>
        </w:rPr>
        <w:t xml:space="preserve"> </w:t>
      </w:r>
      <w:r w:rsidRPr="005E7B17">
        <w:rPr>
          <w:color w:val="auto"/>
        </w:rPr>
        <w:t>SASC 142</w:t>
      </w:r>
      <w:r w:rsidR="00105953">
        <w:rPr>
          <w:color w:val="auto"/>
        </w:rPr>
        <w:t xml:space="preserve"> (‘</w:t>
      </w:r>
      <w:r w:rsidR="00105953" w:rsidRPr="0070502D">
        <w:rPr>
          <w:b/>
          <w:bCs/>
          <w:i/>
          <w:iCs/>
          <w:color w:val="auto"/>
        </w:rPr>
        <w:t>Morrison v Behrooz</w:t>
      </w:r>
      <w:r w:rsidR="00105953">
        <w:rPr>
          <w:i/>
          <w:iCs/>
          <w:color w:val="auto"/>
        </w:rPr>
        <w:t>’)</w:t>
      </w:r>
      <w:r w:rsidRPr="005E7B17">
        <w:rPr>
          <w:color w:val="auto"/>
        </w:rPr>
        <w:t>;</w:t>
      </w:r>
      <w:r w:rsidRPr="005E7B17">
        <w:rPr>
          <w:color w:val="auto"/>
          <w:spacing w:val="-3"/>
        </w:rPr>
        <w:t xml:space="preserve"> </w:t>
      </w:r>
      <w:r w:rsidRPr="005E7B17">
        <w:rPr>
          <w:i/>
          <w:color w:val="auto"/>
        </w:rPr>
        <w:t>Boonstoppel</w:t>
      </w:r>
      <w:r w:rsidRPr="005E7B17">
        <w:rPr>
          <w:i/>
          <w:color w:val="auto"/>
          <w:spacing w:val="-2"/>
        </w:rPr>
        <w:t xml:space="preserve"> </w:t>
      </w:r>
      <w:r w:rsidRPr="005E7B17">
        <w:rPr>
          <w:i/>
          <w:color w:val="auto"/>
        </w:rPr>
        <w:t>v</w:t>
      </w:r>
      <w:r w:rsidRPr="005E7B17">
        <w:rPr>
          <w:i/>
          <w:color w:val="auto"/>
          <w:spacing w:val="-4"/>
        </w:rPr>
        <w:t xml:space="preserve"> </w:t>
      </w:r>
      <w:r w:rsidRPr="005E7B17">
        <w:rPr>
          <w:i/>
          <w:color w:val="auto"/>
        </w:rPr>
        <w:t>Hamidi</w:t>
      </w:r>
      <w:r w:rsidRPr="005E7B17">
        <w:rPr>
          <w:i/>
          <w:color w:val="auto"/>
          <w:spacing w:val="-2"/>
        </w:rPr>
        <w:t xml:space="preserve"> </w:t>
      </w:r>
      <w:r w:rsidRPr="005E7B17">
        <w:rPr>
          <w:color w:val="auto"/>
        </w:rPr>
        <w:t>[2005]</w:t>
      </w:r>
      <w:r w:rsidRPr="005E7B17">
        <w:rPr>
          <w:color w:val="auto"/>
          <w:spacing w:val="-2"/>
        </w:rPr>
        <w:t xml:space="preserve"> </w:t>
      </w:r>
      <w:r w:rsidRPr="005E7B17">
        <w:rPr>
          <w:color w:val="auto"/>
        </w:rPr>
        <w:t>SASC</w:t>
      </w:r>
      <w:r w:rsidRPr="005E7B17">
        <w:rPr>
          <w:color w:val="auto"/>
          <w:spacing w:val="-3"/>
        </w:rPr>
        <w:t xml:space="preserve"> </w:t>
      </w:r>
      <w:r w:rsidRPr="005E7B17">
        <w:rPr>
          <w:color w:val="auto"/>
        </w:rPr>
        <w:t>248</w:t>
      </w:r>
      <w:r w:rsidR="0079024E">
        <w:rPr>
          <w:color w:val="auto"/>
        </w:rPr>
        <w:t xml:space="preserve"> (‘</w:t>
      </w:r>
      <w:r w:rsidR="0079024E" w:rsidRPr="0070502D">
        <w:rPr>
          <w:b/>
          <w:bCs/>
          <w:i/>
          <w:iCs/>
          <w:color w:val="auto"/>
        </w:rPr>
        <w:t>Boonstoppel v Hamidi</w:t>
      </w:r>
      <w:r w:rsidR="0079024E">
        <w:rPr>
          <w:color w:val="auto"/>
        </w:rPr>
        <w:t>’)</w:t>
      </w:r>
      <w:r w:rsidRPr="005E7B17">
        <w:rPr>
          <w:color w:val="auto"/>
        </w:rPr>
        <w:t>.</w:t>
      </w:r>
    </w:p>
  </w:footnote>
  <w:footnote w:id="36">
    <w:p w14:paraId="5F2BEC7B" w14:textId="5A55F0BD"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rFonts w:cs="Calibri"/>
          <w:color w:val="auto"/>
        </w:rPr>
        <w:t xml:space="preserve">See </w:t>
      </w:r>
      <w:r w:rsidRPr="005E7B17">
        <w:rPr>
          <w:rFonts w:ascii="Calibri-Italic" w:hAnsi="Calibri-Italic" w:cs="Calibri-Italic"/>
          <w:i/>
          <w:iCs/>
          <w:color w:val="auto"/>
        </w:rPr>
        <w:t xml:space="preserve">DPP v El Mawas </w:t>
      </w:r>
      <w:r w:rsidRPr="005E7B17">
        <w:rPr>
          <w:rFonts w:cs="Calibri"/>
          <w:color w:val="auto"/>
        </w:rPr>
        <w:t xml:space="preserve">(2006) 66 NSWLR 93 and the cases cited there. In </w:t>
      </w:r>
      <w:r w:rsidRPr="005E7B17">
        <w:rPr>
          <w:rFonts w:ascii="Calibri-Italic" w:hAnsi="Calibri-Italic" w:cs="Calibri-Italic"/>
          <w:i/>
          <w:iCs/>
          <w:color w:val="auto"/>
        </w:rPr>
        <w:t xml:space="preserve">DPP v Seymour </w:t>
      </w:r>
      <w:r w:rsidRPr="005E7B17">
        <w:rPr>
          <w:rFonts w:cs="Calibri"/>
          <w:color w:val="auto"/>
        </w:rPr>
        <w:t xml:space="preserve">[2009] NSWSC 555, Simpson J found it unnecessary to decide whether </w:t>
      </w:r>
      <w:r w:rsidRPr="005E7B17">
        <w:rPr>
          <w:rFonts w:ascii="Calibri-Italic" w:hAnsi="Calibri-Italic" w:cs="Calibri-Italic"/>
          <w:i/>
          <w:iCs/>
          <w:color w:val="auto"/>
        </w:rPr>
        <w:t xml:space="preserve">Morrison v Behrooz </w:t>
      </w:r>
      <w:r w:rsidR="0084368E">
        <w:rPr>
          <w:rFonts w:ascii="Calibri-Italic" w:hAnsi="Calibri-Italic" w:cs="Calibri-Italic"/>
          <w:color w:val="auto"/>
        </w:rPr>
        <w:t>(n</w:t>
      </w:r>
      <w:r w:rsidR="0079024E">
        <w:rPr>
          <w:rFonts w:ascii="Calibri-Italic" w:hAnsi="Calibri-Italic" w:cs="Calibri-Italic"/>
          <w:color w:val="auto"/>
        </w:rPr>
        <w:t xml:space="preserve"> 35) </w:t>
      </w:r>
      <w:r w:rsidRPr="005E7B17">
        <w:rPr>
          <w:rFonts w:cs="Calibri"/>
          <w:color w:val="auto"/>
        </w:rPr>
        <w:t>was correctly decided on this point.</w:t>
      </w:r>
    </w:p>
  </w:footnote>
  <w:footnote w:id="37">
    <w:p w14:paraId="261799A8" w14:textId="6FEBEEFB"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006019B4">
        <w:rPr>
          <w:color w:val="auto"/>
        </w:rPr>
        <w:t xml:space="preserve">In </w:t>
      </w:r>
      <w:r w:rsidRPr="005E7B17">
        <w:rPr>
          <w:i/>
          <w:color w:val="auto"/>
        </w:rPr>
        <w:t>Boonstoppel</w:t>
      </w:r>
      <w:r w:rsidRPr="005E7B17">
        <w:rPr>
          <w:i/>
          <w:color w:val="auto"/>
          <w:spacing w:val="-2"/>
        </w:rPr>
        <w:t xml:space="preserve"> </w:t>
      </w:r>
      <w:r w:rsidRPr="005E7B17">
        <w:rPr>
          <w:i/>
          <w:color w:val="auto"/>
        </w:rPr>
        <w:t>v</w:t>
      </w:r>
      <w:r w:rsidRPr="005E7B17">
        <w:rPr>
          <w:i/>
          <w:color w:val="auto"/>
          <w:spacing w:val="-4"/>
        </w:rPr>
        <w:t xml:space="preserve"> </w:t>
      </w:r>
      <w:r w:rsidRPr="005E7B17">
        <w:rPr>
          <w:i/>
          <w:color w:val="auto"/>
        </w:rPr>
        <w:t>Hamidi</w:t>
      </w:r>
      <w:r w:rsidRPr="005E7B17">
        <w:rPr>
          <w:i/>
          <w:color w:val="auto"/>
          <w:spacing w:val="-2"/>
        </w:rPr>
        <w:t xml:space="preserve"> </w:t>
      </w:r>
      <w:r w:rsidR="0079024E">
        <w:rPr>
          <w:color w:val="auto"/>
        </w:rPr>
        <w:t xml:space="preserve">(n 35) </w:t>
      </w:r>
      <w:r w:rsidRPr="005E7B17">
        <w:rPr>
          <w:color w:val="auto"/>
        </w:rPr>
        <w:t>[44]</w:t>
      </w:r>
      <w:r w:rsidR="006019B4">
        <w:rPr>
          <w:color w:val="auto"/>
        </w:rPr>
        <w:t>,</w:t>
      </w:r>
      <w:r w:rsidRPr="005E7B17">
        <w:rPr>
          <w:color w:val="auto"/>
        </w:rPr>
        <w:t xml:space="preserve"> </w:t>
      </w:r>
      <w:r w:rsidRPr="005E7B17">
        <w:rPr>
          <w:color w:val="auto"/>
          <w:lang w:val="en-US"/>
        </w:rPr>
        <w:t xml:space="preserve">Gray </w:t>
      </w:r>
      <w:r w:rsidR="006019B4">
        <w:rPr>
          <w:color w:val="auto"/>
          <w:lang w:val="en-US"/>
        </w:rPr>
        <w:t xml:space="preserve">J </w:t>
      </w:r>
      <w:r w:rsidRPr="005E7B17">
        <w:rPr>
          <w:color w:val="auto"/>
          <w:lang w:val="en-US"/>
        </w:rPr>
        <w:t>accepted that a s 20BQ disposition was appropriate, despite there have being no finding as to fitness</w:t>
      </w:r>
      <w:r w:rsidR="0079024E">
        <w:rPr>
          <w:color w:val="auto"/>
          <w:lang w:val="en-US"/>
        </w:rPr>
        <w:t>.</w:t>
      </w:r>
    </w:p>
  </w:footnote>
  <w:footnote w:id="38">
    <w:p w14:paraId="726E80E5" w14:textId="622A5C7F"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In</w:t>
      </w:r>
      <w:r w:rsidRPr="005E7B17">
        <w:rPr>
          <w:spacing w:val="-3"/>
          <w:sz w:val="20"/>
          <w:szCs w:val="20"/>
        </w:rPr>
        <w:t xml:space="preserve"> </w:t>
      </w:r>
      <w:r w:rsidRPr="005E7B17">
        <w:rPr>
          <w:i/>
          <w:sz w:val="20"/>
          <w:szCs w:val="20"/>
        </w:rPr>
        <w:t>Potts</w:t>
      </w:r>
      <w:r w:rsidRPr="005E7B17">
        <w:rPr>
          <w:i/>
          <w:spacing w:val="-2"/>
          <w:sz w:val="20"/>
          <w:szCs w:val="20"/>
        </w:rPr>
        <w:t xml:space="preserve"> </w:t>
      </w:r>
      <w:r w:rsidRPr="005E7B17">
        <w:rPr>
          <w:i/>
          <w:sz w:val="20"/>
          <w:szCs w:val="20"/>
        </w:rPr>
        <w:t>v</w:t>
      </w:r>
      <w:r w:rsidRPr="005E7B17">
        <w:rPr>
          <w:i/>
          <w:spacing w:val="-4"/>
          <w:sz w:val="20"/>
          <w:szCs w:val="20"/>
        </w:rPr>
        <w:t xml:space="preserve"> </w:t>
      </w:r>
      <w:r w:rsidRPr="005E7B17">
        <w:rPr>
          <w:i/>
          <w:sz w:val="20"/>
          <w:szCs w:val="20"/>
        </w:rPr>
        <w:t>Bonnici</w:t>
      </w:r>
      <w:r w:rsidRPr="005E7B17">
        <w:rPr>
          <w:i/>
          <w:spacing w:val="-2"/>
          <w:sz w:val="20"/>
          <w:szCs w:val="20"/>
        </w:rPr>
        <w:t xml:space="preserve"> </w:t>
      </w:r>
      <w:r w:rsidRPr="005E7B17">
        <w:rPr>
          <w:sz w:val="20"/>
          <w:szCs w:val="20"/>
        </w:rPr>
        <w:t>[2009]</w:t>
      </w:r>
      <w:r w:rsidRPr="005E7B17">
        <w:rPr>
          <w:spacing w:val="-2"/>
          <w:sz w:val="20"/>
          <w:szCs w:val="20"/>
        </w:rPr>
        <w:t xml:space="preserve"> </w:t>
      </w:r>
      <w:r w:rsidRPr="005E7B17">
        <w:rPr>
          <w:sz w:val="20"/>
          <w:szCs w:val="20"/>
        </w:rPr>
        <w:t>SASC</w:t>
      </w:r>
      <w:r w:rsidRPr="005E7B17">
        <w:rPr>
          <w:spacing w:val="-3"/>
          <w:sz w:val="20"/>
          <w:szCs w:val="20"/>
        </w:rPr>
        <w:t xml:space="preserve"> </w:t>
      </w:r>
      <w:r w:rsidRPr="005E7B17">
        <w:rPr>
          <w:sz w:val="20"/>
          <w:szCs w:val="20"/>
        </w:rPr>
        <w:t>199</w:t>
      </w:r>
      <w:r w:rsidR="006019B4">
        <w:rPr>
          <w:sz w:val="20"/>
          <w:szCs w:val="20"/>
        </w:rPr>
        <w:t xml:space="preserve"> (‘</w:t>
      </w:r>
      <w:r w:rsidR="006019B4" w:rsidRPr="00BF0AD5">
        <w:rPr>
          <w:b/>
          <w:bCs/>
          <w:i/>
          <w:iCs/>
          <w:sz w:val="20"/>
          <w:szCs w:val="20"/>
        </w:rPr>
        <w:t>Potts v Bonnici</w:t>
      </w:r>
      <w:r w:rsidR="006019B4">
        <w:rPr>
          <w:sz w:val="20"/>
          <w:szCs w:val="20"/>
        </w:rPr>
        <w:t>’)</w:t>
      </w:r>
      <w:r w:rsidRPr="005E7B17">
        <w:rPr>
          <w:sz w:val="20"/>
          <w:szCs w:val="20"/>
        </w:rPr>
        <w:t>,</w:t>
      </w:r>
      <w:r w:rsidRPr="005E7B17">
        <w:rPr>
          <w:spacing w:val="-1"/>
          <w:sz w:val="20"/>
          <w:szCs w:val="20"/>
        </w:rPr>
        <w:t xml:space="preserve"> </w:t>
      </w:r>
      <w:r w:rsidRPr="005E7B17">
        <w:rPr>
          <w:sz w:val="20"/>
          <w:szCs w:val="20"/>
        </w:rPr>
        <w:t>the</w:t>
      </w:r>
      <w:r w:rsidRPr="005E7B17">
        <w:rPr>
          <w:spacing w:val="-3"/>
          <w:sz w:val="20"/>
          <w:szCs w:val="20"/>
        </w:rPr>
        <w:t xml:space="preserve"> </w:t>
      </w:r>
      <w:r w:rsidRPr="005E7B17">
        <w:rPr>
          <w:sz w:val="20"/>
          <w:szCs w:val="20"/>
        </w:rPr>
        <w:t>earlier</w:t>
      </w:r>
      <w:r w:rsidRPr="005E7B17">
        <w:rPr>
          <w:spacing w:val="-1"/>
          <w:sz w:val="20"/>
          <w:szCs w:val="20"/>
        </w:rPr>
        <w:t xml:space="preserve"> </w:t>
      </w:r>
      <w:r w:rsidRPr="005E7B17">
        <w:rPr>
          <w:sz w:val="20"/>
          <w:szCs w:val="20"/>
        </w:rPr>
        <w:t>Magistrates</w:t>
      </w:r>
      <w:r w:rsidRPr="005E7B17">
        <w:rPr>
          <w:spacing w:val="-3"/>
          <w:sz w:val="20"/>
          <w:szCs w:val="20"/>
        </w:rPr>
        <w:t xml:space="preserve"> </w:t>
      </w:r>
      <w:r w:rsidRPr="005E7B17">
        <w:rPr>
          <w:sz w:val="20"/>
          <w:szCs w:val="20"/>
        </w:rPr>
        <w:t>Court</w:t>
      </w:r>
      <w:r w:rsidRPr="005E7B17">
        <w:rPr>
          <w:spacing w:val="-3"/>
          <w:sz w:val="20"/>
          <w:szCs w:val="20"/>
        </w:rPr>
        <w:t xml:space="preserve"> </w:t>
      </w:r>
      <w:r w:rsidRPr="005E7B17">
        <w:rPr>
          <w:sz w:val="20"/>
          <w:szCs w:val="20"/>
        </w:rPr>
        <w:t>had</w:t>
      </w:r>
      <w:r w:rsidRPr="005E7B17">
        <w:rPr>
          <w:spacing w:val="-2"/>
          <w:sz w:val="20"/>
          <w:szCs w:val="20"/>
        </w:rPr>
        <w:t xml:space="preserve"> </w:t>
      </w:r>
      <w:r w:rsidRPr="005E7B17">
        <w:rPr>
          <w:sz w:val="20"/>
          <w:szCs w:val="20"/>
        </w:rPr>
        <w:t>considered</w:t>
      </w:r>
      <w:r w:rsidRPr="005E7B17">
        <w:rPr>
          <w:spacing w:val="-4"/>
          <w:sz w:val="20"/>
          <w:szCs w:val="20"/>
        </w:rPr>
        <w:t xml:space="preserve"> </w:t>
      </w:r>
      <w:r w:rsidRPr="005E7B17">
        <w:rPr>
          <w:sz w:val="20"/>
          <w:szCs w:val="20"/>
        </w:rPr>
        <w:t>step</w:t>
      </w:r>
      <w:r w:rsidRPr="005E7B17">
        <w:rPr>
          <w:spacing w:val="-3"/>
          <w:sz w:val="20"/>
          <w:szCs w:val="20"/>
        </w:rPr>
        <w:t xml:space="preserve"> </w:t>
      </w:r>
      <w:r w:rsidRPr="005E7B17">
        <w:rPr>
          <w:sz w:val="20"/>
          <w:szCs w:val="20"/>
        </w:rPr>
        <w:t>2</w:t>
      </w:r>
      <w:r w:rsidRPr="005E7B17">
        <w:rPr>
          <w:spacing w:val="-3"/>
          <w:sz w:val="20"/>
          <w:szCs w:val="20"/>
        </w:rPr>
        <w:t xml:space="preserve"> </w:t>
      </w:r>
      <w:r w:rsidRPr="005E7B17">
        <w:rPr>
          <w:sz w:val="20"/>
          <w:szCs w:val="20"/>
        </w:rPr>
        <w:t>of</w:t>
      </w:r>
      <w:r w:rsidRPr="005E7B17">
        <w:rPr>
          <w:spacing w:val="-3"/>
          <w:sz w:val="20"/>
          <w:szCs w:val="20"/>
        </w:rPr>
        <w:t xml:space="preserve"> </w:t>
      </w:r>
      <w:r w:rsidRPr="005E7B17">
        <w:rPr>
          <w:sz w:val="20"/>
          <w:szCs w:val="20"/>
        </w:rPr>
        <w:t>the s 20BQ</w:t>
      </w:r>
      <w:r w:rsidRPr="005E7B17">
        <w:rPr>
          <w:spacing w:val="-2"/>
          <w:sz w:val="20"/>
          <w:szCs w:val="20"/>
        </w:rPr>
        <w:t xml:space="preserve"> </w:t>
      </w:r>
      <w:r w:rsidRPr="005E7B17">
        <w:rPr>
          <w:sz w:val="20"/>
          <w:szCs w:val="20"/>
        </w:rPr>
        <w:t>test</w:t>
      </w:r>
      <w:r w:rsidRPr="005E7B17">
        <w:rPr>
          <w:spacing w:val="-2"/>
          <w:sz w:val="20"/>
          <w:szCs w:val="20"/>
        </w:rPr>
        <w:t xml:space="preserve"> </w:t>
      </w:r>
      <w:r w:rsidRPr="005E7B17">
        <w:rPr>
          <w:sz w:val="20"/>
          <w:szCs w:val="20"/>
        </w:rPr>
        <w:t>by</w:t>
      </w:r>
      <w:r w:rsidRPr="005E7B17">
        <w:rPr>
          <w:spacing w:val="-2"/>
          <w:sz w:val="20"/>
          <w:szCs w:val="20"/>
        </w:rPr>
        <w:t xml:space="preserve"> </w:t>
      </w:r>
      <w:r w:rsidRPr="005E7B17">
        <w:rPr>
          <w:sz w:val="20"/>
          <w:szCs w:val="20"/>
        </w:rPr>
        <w:t>looking</w:t>
      </w:r>
      <w:r w:rsidRPr="005E7B17">
        <w:rPr>
          <w:spacing w:val="-3"/>
          <w:sz w:val="20"/>
          <w:szCs w:val="20"/>
        </w:rPr>
        <w:t xml:space="preserve"> </w:t>
      </w:r>
      <w:r w:rsidRPr="005E7B17">
        <w:rPr>
          <w:sz w:val="20"/>
          <w:szCs w:val="20"/>
        </w:rPr>
        <w:t>at</w:t>
      </w:r>
      <w:r w:rsidRPr="005E7B17">
        <w:rPr>
          <w:spacing w:val="-2"/>
          <w:sz w:val="20"/>
          <w:szCs w:val="20"/>
        </w:rPr>
        <w:t xml:space="preserve"> </w:t>
      </w:r>
      <w:r w:rsidRPr="005E7B17">
        <w:rPr>
          <w:sz w:val="20"/>
          <w:szCs w:val="20"/>
        </w:rPr>
        <w:t>the</w:t>
      </w:r>
      <w:r w:rsidRPr="005E7B17">
        <w:rPr>
          <w:spacing w:val="-3"/>
          <w:sz w:val="20"/>
          <w:szCs w:val="20"/>
        </w:rPr>
        <w:t xml:space="preserve"> </w:t>
      </w:r>
      <w:r w:rsidRPr="005E7B17">
        <w:rPr>
          <w:sz w:val="20"/>
          <w:szCs w:val="20"/>
        </w:rPr>
        <w:t>state of mind of the person at the time of her offending – i.e</w:t>
      </w:r>
      <w:r w:rsidR="0024203C">
        <w:rPr>
          <w:sz w:val="20"/>
          <w:szCs w:val="20"/>
        </w:rPr>
        <w:t>.</w:t>
      </w:r>
      <w:r w:rsidR="00BF0AD5">
        <w:rPr>
          <w:sz w:val="20"/>
          <w:szCs w:val="20"/>
        </w:rPr>
        <w:t>,</w:t>
      </w:r>
      <w:r w:rsidRPr="005E7B17">
        <w:rPr>
          <w:sz w:val="20"/>
          <w:szCs w:val="20"/>
        </w:rPr>
        <w:t xml:space="preserve"> considering whether the defence of mental impairment was available.</w:t>
      </w:r>
    </w:p>
  </w:footnote>
  <w:footnote w:id="39">
    <w:p w14:paraId="1453BA3E" w14:textId="6E6004B2" w:rsidR="009F40F1" w:rsidRPr="005E7B17" w:rsidRDefault="009F40F1" w:rsidP="009F40F1">
      <w:pPr>
        <w:spacing w:before="0" w:line="240" w:lineRule="auto"/>
        <w:rPr>
          <w:sz w:val="20"/>
          <w:szCs w:val="20"/>
        </w:rPr>
      </w:pPr>
      <w:r w:rsidRPr="005E7B17">
        <w:rPr>
          <w:rStyle w:val="FootnoteReference"/>
          <w:sz w:val="20"/>
          <w:szCs w:val="20"/>
        </w:rPr>
        <w:footnoteRef/>
      </w:r>
      <w:r w:rsidRPr="005E7B17">
        <w:rPr>
          <w:sz w:val="20"/>
          <w:szCs w:val="20"/>
        </w:rPr>
        <w:t xml:space="preserve"> Refer</w:t>
      </w:r>
      <w:r w:rsidRPr="005E7B17">
        <w:rPr>
          <w:spacing w:val="-2"/>
          <w:sz w:val="20"/>
          <w:szCs w:val="20"/>
        </w:rPr>
        <w:t xml:space="preserve"> </w:t>
      </w:r>
      <w:r w:rsidRPr="005E7B17">
        <w:rPr>
          <w:sz w:val="20"/>
          <w:szCs w:val="20"/>
        </w:rPr>
        <w:t>to</w:t>
      </w:r>
      <w:r w:rsidRPr="005E7B17">
        <w:rPr>
          <w:spacing w:val="-2"/>
          <w:sz w:val="20"/>
          <w:szCs w:val="20"/>
        </w:rPr>
        <w:t xml:space="preserve"> </w:t>
      </w:r>
      <w:r w:rsidRPr="005E7B17">
        <w:rPr>
          <w:sz w:val="20"/>
          <w:szCs w:val="20"/>
        </w:rPr>
        <w:t>the</w:t>
      </w:r>
      <w:r w:rsidRPr="005E7B17">
        <w:rPr>
          <w:spacing w:val="-2"/>
          <w:sz w:val="20"/>
          <w:szCs w:val="20"/>
        </w:rPr>
        <w:t xml:space="preserve"> </w:t>
      </w:r>
      <w:r w:rsidRPr="005E7B17">
        <w:rPr>
          <w:sz w:val="20"/>
          <w:szCs w:val="20"/>
        </w:rPr>
        <w:t>Decision</w:t>
      </w:r>
      <w:r w:rsidRPr="005E7B17">
        <w:rPr>
          <w:spacing w:val="-2"/>
          <w:sz w:val="20"/>
          <w:szCs w:val="20"/>
        </w:rPr>
        <w:t xml:space="preserve"> </w:t>
      </w:r>
      <w:r w:rsidRPr="005E7B17">
        <w:rPr>
          <w:sz w:val="20"/>
          <w:szCs w:val="20"/>
        </w:rPr>
        <w:t>Making</w:t>
      </w:r>
      <w:r w:rsidRPr="005E7B17">
        <w:rPr>
          <w:spacing w:val="-3"/>
          <w:sz w:val="20"/>
          <w:szCs w:val="20"/>
        </w:rPr>
        <w:t xml:space="preserve"> </w:t>
      </w:r>
      <w:r w:rsidRPr="005E7B17">
        <w:rPr>
          <w:sz w:val="20"/>
          <w:szCs w:val="20"/>
        </w:rPr>
        <w:t>Matrix,</w:t>
      </w:r>
      <w:r w:rsidRPr="005E7B17">
        <w:rPr>
          <w:spacing w:val="-1"/>
          <w:sz w:val="20"/>
          <w:szCs w:val="20"/>
        </w:rPr>
        <w:t xml:space="preserve"> </w:t>
      </w:r>
      <w:r w:rsidR="006019B4">
        <w:rPr>
          <w:sz w:val="20"/>
          <w:szCs w:val="20"/>
        </w:rPr>
        <w:t xml:space="preserve">decision </w:t>
      </w:r>
      <w:r w:rsidRPr="005E7B17">
        <w:rPr>
          <w:sz w:val="20"/>
          <w:szCs w:val="20"/>
        </w:rPr>
        <w:t>2.28 –</w:t>
      </w:r>
      <w:r w:rsidRPr="005E7B17">
        <w:rPr>
          <w:spacing w:val="-2"/>
          <w:sz w:val="20"/>
          <w:szCs w:val="20"/>
        </w:rPr>
        <w:t xml:space="preserve"> </w:t>
      </w:r>
      <w:r w:rsidRPr="005E7B17">
        <w:rPr>
          <w:sz w:val="20"/>
          <w:szCs w:val="20"/>
        </w:rPr>
        <w:t>‘approval</w:t>
      </w:r>
      <w:r w:rsidRPr="005E7B17">
        <w:rPr>
          <w:spacing w:val="-1"/>
          <w:sz w:val="20"/>
          <w:szCs w:val="20"/>
        </w:rPr>
        <w:t xml:space="preserve"> </w:t>
      </w:r>
      <w:r w:rsidRPr="005E7B17">
        <w:rPr>
          <w:sz w:val="20"/>
          <w:szCs w:val="20"/>
        </w:rPr>
        <w:t>to</w:t>
      </w:r>
      <w:r w:rsidRPr="005E7B17">
        <w:rPr>
          <w:spacing w:val="-2"/>
          <w:sz w:val="20"/>
          <w:szCs w:val="20"/>
        </w:rPr>
        <w:t xml:space="preserve"> </w:t>
      </w:r>
      <w:r w:rsidRPr="005E7B17">
        <w:rPr>
          <w:sz w:val="20"/>
          <w:szCs w:val="20"/>
        </w:rPr>
        <w:t>retain</w:t>
      </w:r>
      <w:r w:rsidRPr="005E7B17">
        <w:rPr>
          <w:spacing w:val="-2"/>
          <w:sz w:val="20"/>
          <w:szCs w:val="20"/>
        </w:rPr>
        <w:t xml:space="preserve"> </w:t>
      </w:r>
      <w:r w:rsidRPr="005E7B17">
        <w:rPr>
          <w:sz w:val="20"/>
          <w:szCs w:val="20"/>
        </w:rPr>
        <w:t>expert</w:t>
      </w:r>
      <w:r w:rsidRPr="005E7B17">
        <w:rPr>
          <w:spacing w:val="-1"/>
          <w:sz w:val="20"/>
          <w:szCs w:val="20"/>
        </w:rPr>
        <w:t xml:space="preserve"> </w:t>
      </w:r>
      <w:r w:rsidRPr="005E7B17">
        <w:rPr>
          <w:sz w:val="20"/>
          <w:szCs w:val="20"/>
        </w:rPr>
        <w:t>witness’,</w:t>
      </w:r>
      <w:r w:rsidRPr="005E7B17">
        <w:rPr>
          <w:spacing w:val="-1"/>
          <w:sz w:val="20"/>
          <w:szCs w:val="20"/>
        </w:rPr>
        <w:t xml:space="preserve"> </w:t>
      </w:r>
      <w:r w:rsidRPr="005E7B17">
        <w:rPr>
          <w:sz w:val="20"/>
          <w:szCs w:val="20"/>
        </w:rPr>
        <w:t>and refer</w:t>
      </w:r>
      <w:r w:rsidRPr="005E7B17">
        <w:rPr>
          <w:spacing w:val="-3"/>
          <w:sz w:val="20"/>
          <w:szCs w:val="20"/>
        </w:rPr>
        <w:t xml:space="preserve"> </w:t>
      </w:r>
      <w:r w:rsidRPr="005E7B17">
        <w:rPr>
          <w:sz w:val="20"/>
          <w:szCs w:val="20"/>
        </w:rPr>
        <w:t>to</w:t>
      </w:r>
      <w:r w:rsidRPr="005E7B17">
        <w:rPr>
          <w:spacing w:val="-1"/>
          <w:sz w:val="20"/>
          <w:szCs w:val="20"/>
        </w:rPr>
        <w:t xml:space="preserve"> </w:t>
      </w:r>
      <w:r w:rsidRPr="005E7B17">
        <w:rPr>
          <w:sz w:val="20"/>
          <w:szCs w:val="20"/>
        </w:rPr>
        <w:t>the Financial</w:t>
      </w:r>
      <w:r w:rsidRPr="005E7B17">
        <w:rPr>
          <w:spacing w:val="-2"/>
          <w:sz w:val="20"/>
          <w:szCs w:val="20"/>
        </w:rPr>
        <w:t xml:space="preserve"> </w:t>
      </w:r>
      <w:r w:rsidRPr="005E7B17">
        <w:rPr>
          <w:sz w:val="20"/>
          <w:szCs w:val="20"/>
        </w:rPr>
        <w:t>Delegations</w:t>
      </w:r>
      <w:r w:rsidRPr="005E7B17">
        <w:rPr>
          <w:spacing w:val="-3"/>
          <w:sz w:val="20"/>
          <w:szCs w:val="20"/>
        </w:rPr>
        <w:t xml:space="preserve"> </w:t>
      </w:r>
      <w:r w:rsidRPr="005E7B17">
        <w:rPr>
          <w:sz w:val="20"/>
          <w:szCs w:val="20"/>
        </w:rPr>
        <w:t>Matrix</w:t>
      </w:r>
      <w:r w:rsidRPr="005E7B17">
        <w:rPr>
          <w:spacing w:val="-2"/>
          <w:sz w:val="20"/>
          <w:szCs w:val="20"/>
        </w:rPr>
        <w:t xml:space="preserve"> </w:t>
      </w:r>
      <w:r w:rsidRPr="005E7B17">
        <w:rPr>
          <w:sz w:val="20"/>
          <w:szCs w:val="20"/>
        </w:rPr>
        <w:t>which</w:t>
      </w:r>
      <w:r w:rsidRPr="005E7B17">
        <w:rPr>
          <w:spacing w:val="-3"/>
          <w:sz w:val="20"/>
          <w:szCs w:val="20"/>
        </w:rPr>
        <w:t xml:space="preserve"> </w:t>
      </w:r>
      <w:r w:rsidRPr="005E7B17">
        <w:rPr>
          <w:sz w:val="20"/>
          <w:szCs w:val="20"/>
        </w:rPr>
        <w:t>covers</w:t>
      </w:r>
      <w:r w:rsidRPr="005E7B17">
        <w:rPr>
          <w:spacing w:val="-4"/>
          <w:sz w:val="20"/>
          <w:szCs w:val="20"/>
        </w:rPr>
        <w:t xml:space="preserve"> </w:t>
      </w:r>
      <w:r w:rsidRPr="005E7B17">
        <w:rPr>
          <w:sz w:val="20"/>
          <w:szCs w:val="20"/>
        </w:rPr>
        <w:t>approval</w:t>
      </w:r>
      <w:r w:rsidRPr="005E7B17">
        <w:rPr>
          <w:spacing w:val="-3"/>
          <w:sz w:val="20"/>
          <w:szCs w:val="20"/>
        </w:rPr>
        <w:t xml:space="preserve"> </w:t>
      </w:r>
      <w:r w:rsidRPr="005E7B17">
        <w:rPr>
          <w:sz w:val="20"/>
          <w:szCs w:val="20"/>
        </w:rPr>
        <w:t>for</w:t>
      </w:r>
      <w:r w:rsidRPr="005E7B17">
        <w:rPr>
          <w:spacing w:val="-2"/>
          <w:sz w:val="20"/>
          <w:szCs w:val="20"/>
        </w:rPr>
        <w:t xml:space="preserve"> </w:t>
      </w:r>
      <w:r w:rsidRPr="005E7B17">
        <w:rPr>
          <w:sz w:val="20"/>
          <w:szCs w:val="20"/>
        </w:rPr>
        <w:t>expert</w:t>
      </w:r>
      <w:r w:rsidRPr="005E7B17">
        <w:rPr>
          <w:spacing w:val="-4"/>
          <w:sz w:val="20"/>
          <w:szCs w:val="20"/>
        </w:rPr>
        <w:t xml:space="preserve"> </w:t>
      </w:r>
      <w:r w:rsidRPr="005E7B17">
        <w:rPr>
          <w:sz w:val="20"/>
          <w:szCs w:val="20"/>
        </w:rPr>
        <w:t>witness</w:t>
      </w:r>
      <w:r w:rsidRPr="005E7B17">
        <w:rPr>
          <w:spacing w:val="-3"/>
          <w:sz w:val="20"/>
          <w:szCs w:val="20"/>
        </w:rPr>
        <w:t xml:space="preserve"> </w:t>
      </w:r>
      <w:r w:rsidRPr="005E7B17">
        <w:rPr>
          <w:sz w:val="20"/>
          <w:szCs w:val="20"/>
        </w:rPr>
        <w:t>expenditure.</w:t>
      </w:r>
    </w:p>
  </w:footnote>
  <w:footnote w:id="40">
    <w:p w14:paraId="33A5CD9E" w14:textId="77777777"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For example, the </w:t>
      </w:r>
      <w:r w:rsidRPr="005E7B17">
        <w:rPr>
          <w:i/>
          <w:color w:val="auto"/>
        </w:rPr>
        <w:t xml:space="preserve">Crimes (Mental Impairment and Unfitness to be Tried) Act 1997 </w:t>
      </w:r>
      <w:r w:rsidRPr="005E7B17">
        <w:rPr>
          <w:color w:val="auto"/>
        </w:rPr>
        <w:t xml:space="preserve">(Vic) and the </w:t>
      </w:r>
      <w:r w:rsidRPr="005E7B17">
        <w:rPr>
          <w:i/>
          <w:color w:val="auto"/>
        </w:rPr>
        <w:t>Mental Health (Criminal</w:t>
      </w:r>
      <w:r w:rsidRPr="005E7B17">
        <w:rPr>
          <w:i/>
          <w:color w:val="auto"/>
          <w:spacing w:val="-38"/>
        </w:rPr>
        <w:t xml:space="preserve"> </w:t>
      </w:r>
      <w:r w:rsidRPr="005E7B17">
        <w:rPr>
          <w:i/>
          <w:color w:val="auto"/>
        </w:rPr>
        <w:t>Procedure)</w:t>
      </w:r>
      <w:r w:rsidRPr="005E7B17">
        <w:rPr>
          <w:i/>
          <w:color w:val="auto"/>
          <w:spacing w:val="-1"/>
        </w:rPr>
        <w:t xml:space="preserve"> </w:t>
      </w:r>
      <w:r w:rsidRPr="005E7B17">
        <w:rPr>
          <w:i/>
          <w:color w:val="auto"/>
        </w:rPr>
        <w:t>Act</w:t>
      </w:r>
      <w:r w:rsidRPr="005E7B17">
        <w:rPr>
          <w:i/>
          <w:color w:val="auto"/>
          <w:spacing w:val="-1"/>
        </w:rPr>
        <w:t xml:space="preserve"> </w:t>
      </w:r>
      <w:r w:rsidRPr="005E7B17">
        <w:rPr>
          <w:i/>
          <w:color w:val="auto"/>
        </w:rPr>
        <w:t>1990</w:t>
      </w:r>
      <w:r w:rsidRPr="005E7B17">
        <w:rPr>
          <w:i/>
          <w:color w:val="auto"/>
          <w:spacing w:val="1"/>
        </w:rPr>
        <w:t xml:space="preserve"> </w:t>
      </w:r>
      <w:r w:rsidRPr="005E7B17">
        <w:rPr>
          <w:color w:val="auto"/>
        </w:rPr>
        <w:t>(NSW).</w:t>
      </w:r>
    </w:p>
  </w:footnote>
  <w:footnote w:id="41">
    <w:p w14:paraId="7ACDE722" w14:textId="21C0E6DB"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w:t>
      </w:r>
      <w:r w:rsidRPr="005E7B17">
        <w:rPr>
          <w:i/>
          <w:color w:val="auto"/>
        </w:rPr>
        <w:t>Boonstoppel</w:t>
      </w:r>
      <w:r w:rsidRPr="005E7B17">
        <w:rPr>
          <w:i/>
          <w:color w:val="auto"/>
          <w:spacing w:val="-2"/>
        </w:rPr>
        <w:t xml:space="preserve"> </w:t>
      </w:r>
      <w:r w:rsidRPr="005E7B17">
        <w:rPr>
          <w:i/>
          <w:color w:val="auto"/>
        </w:rPr>
        <w:t>v</w:t>
      </w:r>
      <w:r w:rsidRPr="005E7B17">
        <w:rPr>
          <w:i/>
          <w:color w:val="auto"/>
          <w:spacing w:val="-4"/>
        </w:rPr>
        <w:t xml:space="preserve"> </w:t>
      </w:r>
      <w:r w:rsidRPr="005E7B17">
        <w:rPr>
          <w:i/>
          <w:color w:val="auto"/>
        </w:rPr>
        <w:t>Hamidi</w:t>
      </w:r>
      <w:r w:rsidR="006019B4">
        <w:rPr>
          <w:color w:val="auto"/>
        </w:rPr>
        <w:t xml:space="preserve"> (35)</w:t>
      </w:r>
      <w:r w:rsidRPr="005E7B17">
        <w:rPr>
          <w:color w:val="auto"/>
          <w:spacing w:val="-2"/>
        </w:rPr>
        <w:t xml:space="preserve"> </w:t>
      </w:r>
      <w:r w:rsidR="0024203C">
        <w:rPr>
          <w:color w:val="auto"/>
        </w:rPr>
        <w:t>[</w:t>
      </w:r>
      <w:r w:rsidRPr="005E7B17">
        <w:rPr>
          <w:color w:val="auto"/>
        </w:rPr>
        <w:t>30</w:t>
      </w:r>
      <w:r w:rsidR="0024203C">
        <w:rPr>
          <w:color w:val="auto"/>
        </w:rPr>
        <w:t>]</w:t>
      </w:r>
      <w:r w:rsidRPr="005E7B17">
        <w:rPr>
          <w:color w:val="auto"/>
        </w:rPr>
        <w:t>.</w:t>
      </w:r>
    </w:p>
  </w:footnote>
  <w:footnote w:id="42">
    <w:p w14:paraId="48290128" w14:textId="646B5E9A" w:rsidR="009F40F1" w:rsidRPr="005E7B17" w:rsidRDefault="009F40F1" w:rsidP="009F40F1">
      <w:pPr>
        <w:pStyle w:val="FootnoteText"/>
        <w:rPr>
          <w:color w:val="auto"/>
        </w:rPr>
      </w:pPr>
      <w:r w:rsidRPr="005E7B17">
        <w:rPr>
          <w:rStyle w:val="FootnoteReference"/>
          <w:color w:val="auto"/>
        </w:rPr>
        <w:footnoteRef/>
      </w:r>
      <w:r>
        <w:rPr>
          <w:i/>
          <w:color w:val="auto"/>
        </w:rPr>
        <w:t xml:space="preserve"> </w:t>
      </w:r>
      <w:r w:rsidRPr="005E7B17">
        <w:rPr>
          <w:i/>
          <w:color w:val="auto"/>
        </w:rPr>
        <w:t>Boonstoppel</w:t>
      </w:r>
      <w:r w:rsidRPr="005E7B17">
        <w:rPr>
          <w:i/>
          <w:color w:val="auto"/>
          <w:spacing w:val="-1"/>
        </w:rPr>
        <w:t xml:space="preserve"> </w:t>
      </w:r>
      <w:r w:rsidRPr="005E7B17">
        <w:rPr>
          <w:i/>
          <w:color w:val="auto"/>
        </w:rPr>
        <w:t>v</w:t>
      </w:r>
      <w:r w:rsidRPr="005E7B17">
        <w:rPr>
          <w:i/>
          <w:color w:val="auto"/>
          <w:spacing w:val="-3"/>
        </w:rPr>
        <w:t xml:space="preserve"> </w:t>
      </w:r>
      <w:r w:rsidRPr="005E7B17">
        <w:rPr>
          <w:i/>
          <w:color w:val="auto"/>
        </w:rPr>
        <w:t>Hamidi</w:t>
      </w:r>
      <w:r w:rsidRPr="005E7B17">
        <w:rPr>
          <w:i/>
          <w:color w:val="auto"/>
          <w:spacing w:val="-1"/>
        </w:rPr>
        <w:t xml:space="preserve"> </w:t>
      </w:r>
      <w:r w:rsidR="006019B4">
        <w:rPr>
          <w:color w:val="auto"/>
        </w:rPr>
        <w:t>(n 35)</w:t>
      </w:r>
      <w:r w:rsidRPr="005E7B17">
        <w:rPr>
          <w:color w:val="auto"/>
        </w:rPr>
        <w:t>;</w:t>
      </w:r>
      <w:r w:rsidRPr="005E7B17">
        <w:rPr>
          <w:color w:val="auto"/>
          <w:spacing w:val="-2"/>
        </w:rPr>
        <w:t xml:space="preserve"> </w:t>
      </w:r>
      <w:r w:rsidRPr="005E7B17">
        <w:rPr>
          <w:color w:val="auto"/>
        </w:rPr>
        <w:t>and</w:t>
      </w:r>
      <w:r w:rsidRPr="005E7B17">
        <w:rPr>
          <w:color w:val="auto"/>
          <w:spacing w:val="-2"/>
        </w:rPr>
        <w:t xml:space="preserve"> </w:t>
      </w:r>
      <w:r w:rsidRPr="005E7B17">
        <w:rPr>
          <w:i/>
          <w:color w:val="auto"/>
        </w:rPr>
        <w:t>Potts</w:t>
      </w:r>
      <w:r w:rsidRPr="005E7B17">
        <w:rPr>
          <w:i/>
          <w:color w:val="auto"/>
          <w:spacing w:val="-2"/>
        </w:rPr>
        <w:t xml:space="preserve"> </w:t>
      </w:r>
      <w:r w:rsidRPr="005E7B17">
        <w:rPr>
          <w:i/>
          <w:color w:val="auto"/>
        </w:rPr>
        <w:t>v</w:t>
      </w:r>
      <w:r w:rsidRPr="005E7B17">
        <w:rPr>
          <w:i/>
          <w:color w:val="auto"/>
          <w:spacing w:val="-3"/>
        </w:rPr>
        <w:t xml:space="preserve"> </w:t>
      </w:r>
      <w:r w:rsidRPr="005E7B17">
        <w:rPr>
          <w:i/>
          <w:color w:val="auto"/>
        </w:rPr>
        <w:t>Bonnici</w:t>
      </w:r>
      <w:r w:rsidRPr="005E7B17">
        <w:rPr>
          <w:i/>
          <w:color w:val="auto"/>
          <w:spacing w:val="-1"/>
        </w:rPr>
        <w:t xml:space="preserve"> </w:t>
      </w:r>
      <w:r w:rsidR="006019B4">
        <w:rPr>
          <w:color w:val="auto"/>
        </w:rPr>
        <w:t>(n</w:t>
      </w:r>
      <w:r w:rsidR="00105953">
        <w:rPr>
          <w:color w:val="auto"/>
        </w:rPr>
        <w:t xml:space="preserve"> 39).</w:t>
      </w:r>
    </w:p>
  </w:footnote>
  <w:footnote w:id="43">
    <w:p w14:paraId="4BFC4A5E" w14:textId="5D758E96" w:rsidR="006019B4" w:rsidRDefault="006019B4">
      <w:pPr>
        <w:pStyle w:val="FootnoteText"/>
      </w:pPr>
      <w:r w:rsidRPr="00BF0AD5">
        <w:rPr>
          <w:rStyle w:val="FootnoteReference"/>
          <w:color w:val="auto"/>
        </w:rPr>
        <w:footnoteRef/>
      </w:r>
      <w:r w:rsidRPr="00BF0AD5">
        <w:rPr>
          <w:color w:val="auto"/>
        </w:rPr>
        <w:t xml:space="preserve"> [2008] NSWCA 213.</w:t>
      </w:r>
    </w:p>
  </w:footnote>
  <w:footnote w:id="44">
    <w:p w14:paraId="681E3478" w14:textId="127AA288"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See the discussion in the </w:t>
      </w:r>
      <w:r w:rsidRPr="005E7B17">
        <w:rPr>
          <w:i/>
          <w:iCs/>
          <w:color w:val="auto"/>
        </w:rPr>
        <w:t xml:space="preserve">Sentencing </w:t>
      </w:r>
      <w:r w:rsidR="00105953">
        <w:rPr>
          <w:i/>
          <w:iCs/>
          <w:color w:val="auto"/>
        </w:rPr>
        <w:t>o</w:t>
      </w:r>
      <w:r w:rsidRPr="005E7B17">
        <w:rPr>
          <w:i/>
          <w:iCs/>
          <w:color w:val="auto"/>
        </w:rPr>
        <w:t xml:space="preserve">f Federal Offenders </w:t>
      </w:r>
      <w:r w:rsidR="00105953">
        <w:rPr>
          <w:i/>
          <w:iCs/>
          <w:color w:val="auto"/>
        </w:rPr>
        <w:t>i</w:t>
      </w:r>
      <w:r w:rsidRPr="005E7B17">
        <w:rPr>
          <w:i/>
          <w:iCs/>
          <w:color w:val="auto"/>
        </w:rPr>
        <w:t xml:space="preserve">n Australia: A Guide </w:t>
      </w:r>
      <w:r w:rsidR="00105953">
        <w:rPr>
          <w:i/>
          <w:iCs/>
          <w:color w:val="auto"/>
        </w:rPr>
        <w:t>f</w:t>
      </w:r>
      <w:r w:rsidRPr="005E7B17">
        <w:rPr>
          <w:i/>
          <w:iCs/>
          <w:color w:val="auto"/>
        </w:rPr>
        <w:t xml:space="preserve">or Practitioners </w:t>
      </w:r>
      <w:r w:rsidRPr="005E7B17">
        <w:rPr>
          <w:color w:val="auto"/>
        </w:rPr>
        <w:t>(6</w:t>
      </w:r>
      <w:r w:rsidRPr="005E7B17">
        <w:rPr>
          <w:color w:val="auto"/>
          <w:vertAlign w:val="superscript"/>
        </w:rPr>
        <w:t>th</w:t>
      </w:r>
      <w:r w:rsidRPr="005E7B17">
        <w:rPr>
          <w:color w:val="auto"/>
        </w:rPr>
        <w:t xml:space="preserve"> edition, April 2023) [1351]-[1352].</w:t>
      </w:r>
    </w:p>
  </w:footnote>
  <w:footnote w:id="45">
    <w:p w14:paraId="107AF187" w14:textId="6F88F893" w:rsidR="009F40F1" w:rsidRPr="005E7B17" w:rsidRDefault="009F40F1" w:rsidP="009F40F1">
      <w:pPr>
        <w:spacing w:before="0" w:line="240" w:lineRule="auto"/>
        <w:ind w:right="1014"/>
        <w:rPr>
          <w:sz w:val="20"/>
          <w:szCs w:val="20"/>
        </w:rPr>
      </w:pPr>
      <w:r w:rsidRPr="005E7B17">
        <w:rPr>
          <w:rStyle w:val="FootnoteReference"/>
          <w:sz w:val="20"/>
          <w:szCs w:val="20"/>
        </w:rPr>
        <w:footnoteRef/>
      </w:r>
      <w:r w:rsidRPr="005E7B17">
        <w:rPr>
          <w:sz w:val="20"/>
          <w:szCs w:val="20"/>
        </w:rPr>
        <w:t xml:space="preserve"> In </w:t>
      </w:r>
      <w:r w:rsidRPr="005E7B17">
        <w:rPr>
          <w:i/>
          <w:sz w:val="20"/>
          <w:szCs w:val="20"/>
        </w:rPr>
        <w:t>Boonstoppel</w:t>
      </w:r>
      <w:r w:rsidR="00682A9B">
        <w:rPr>
          <w:i/>
          <w:sz w:val="20"/>
          <w:szCs w:val="20"/>
        </w:rPr>
        <w:t xml:space="preserve"> v Hamidi </w:t>
      </w:r>
      <w:r w:rsidR="00682A9B">
        <w:rPr>
          <w:iCs/>
          <w:sz w:val="20"/>
          <w:szCs w:val="20"/>
        </w:rPr>
        <w:t>(n 35)</w:t>
      </w:r>
      <w:r w:rsidRPr="005E7B17">
        <w:rPr>
          <w:sz w:val="20"/>
          <w:szCs w:val="20"/>
        </w:rPr>
        <w:t>, the Prosecution successfully appealed an unconditional dismissal under s 20BQ, and the appellate Court agreed</w:t>
      </w:r>
      <w:r w:rsidRPr="005E7B17">
        <w:rPr>
          <w:spacing w:val="1"/>
          <w:sz w:val="20"/>
          <w:szCs w:val="20"/>
        </w:rPr>
        <w:t xml:space="preserve"> </w:t>
      </w:r>
      <w:r w:rsidRPr="005E7B17">
        <w:rPr>
          <w:sz w:val="20"/>
          <w:szCs w:val="20"/>
        </w:rPr>
        <w:t>with the Prosecution submission that the offending (intentional escape from immigration detention in the context of a violent, large scale demonstration where the defendant had prior convictions) was too serious for an unconditional dismissal under s 20BQ.</w:t>
      </w:r>
      <w:r w:rsidR="0024203C">
        <w:rPr>
          <w:sz w:val="20"/>
          <w:szCs w:val="20"/>
        </w:rPr>
        <w:t xml:space="preserve"> </w:t>
      </w:r>
      <w:r w:rsidRPr="005E7B17">
        <w:rPr>
          <w:sz w:val="20"/>
          <w:szCs w:val="20"/>
        </w:rPr>
        <w:t>Seriousness of the offence and the need for general deterrence are relevant factors to be considered by the Court during a s 20BQ</w:t>
      </w:r>
      <w:r w:rsidRPr="005E7B17">
        <w:rPr>
          <w:spacing w:val="1"/>
          <w:sz w:val="20"/>
          <w:szCs w:val="20"/>
        </w:rPr>
        <w:t xml:space="preserve"> </w:t>
      </w:r>
      <w:r w:rsidRPr="005E7B17">
        <w:rPr>
          <w:sz w:val="20"/>
          <w:szCs w:val="20"/>
        </w:rPr>
        <w:t>application.</w:t>
      </w:r>
    </w:p>
  </w:footnote>
  <w:footnote w:id="46">
    <w:p w14:paraId="7B31EE1E" w14:textId="002AD670" w:rsidR="009F40F1" w:rsidRPr="005E7B17" w:rsidRDefault="009F40F1" w:rsidP="009F40F1">
      <w:pPr>
        <w:pStyle w:val="FootnoteText"/>
        <w:rPr>
          <w:color w:val="auto"/>
        </w:rPr>
      </w:pPr>
      <w:r w:rsidRPr="005E7B17">
        <w:rPr>
          <w:rStyle w:val="FootnoteReference"/>
          <w:color w:val="auto"/>
        </w:rPr>
        <w:footnoteRef/>
      </w:r>
      <w:r w:rsidRPr="005E7B17">
        <w:rPr>
          <w:color w:val="auto"/>
        </w:rPr>
        <w:t xml:space="preserve"> Note that orders made pursuant to s 20BQ are not a ‘sentence’ however CaseHQ refers to them as a ‘penalty’. For full details</w:t>
      </w:r>
      <w:r w:rsidR="005D55A2">
        <w:rPr>
          <w:color w:val="auto"/>
        </w:rPr>
        <w:t xml:space="preserve"> on how </w:t>
      </w:r>
      <w:r w:rsidRPr="005E7B17">
        <w:rPr>
          <w:color w:val="auto"/>
        </w:rPr>
        <w:t>to correctly select ‘plea’, ‘outcome’ and ‘penalty’ for s 20BQ matters, please contact the CaseHQ Help Desk. Also see General</w:t>
      </w:r>
      <w:r w:rsidRPr="005E7B17">
        <w:rPr>
          <w:color w:val="auto"/>
          <w:spacing w:val="1"/>
        </w:rPr>
        <w:t xml:space="preserve"> </w:t>
      </w:r>
      <w:r w:rsidRPr="005E7B17">
        <w:rPr>
          <w:color w:val="auto"/>
        </w:rPr>
        <w:t>Fact</w:t>
      </w:r>
      <w:r w:rsidRPr="005E7B17">
        <w:rPr>
          <w:color w:val="auto"/>
          <w:spacing w:val="-1"/>
        </w:rPr>
        <w:t xml:space="preserve"> </w:t>
      </w:r>
      <w:r w:rsidRPr="005E7B17">
        <w:rPr>
          <w:color w:val="auto"/>
        </w:rPr>
        <w:t>Sheet, ‘After Court/Entering</w:t>
      </w:r>
      <w:r w:rsidRPr="005E7B17">
        <w:rPr>
          <w:color w:val="auto"/>
          <w:spacing w:val="1"/>
        </w:rPr>
        <w:t xml:space="preserve"> </w:t>
      </w:r>
      <w:r w:rsidRPr="005E7B17">
        <w:rPr>
          <w:color w:val="auto"/>
        </w:rPr>
        <w:t>Court</w:t>
      </w:r>
      <w:r w:rsidRPr="005E7B17">
        <w:rPr>
          <w:color w:val="auto"/>
          <w:spacing w:val="-1"/>
        </w:rPr>
        <w:t xml:space="preserve"> </w:t>
      </w:r>
      <w:r w:rsidRPr="005E7B17">
        <w:rPr>
          <w:color w:val="auto"/>
        </w:rPr>
        <w:t>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1A01" w14:textId="77777777" w:rsidR="00D753DA" w:rsidRPr="008F408B" w:rsidRDefault="00D753DA" w:rsidP="00D753DA">
    <w:pPr>
      <w:pStyle w:val="Header"/>
      <w:rPr>
        <w:b/>
        <w:bCs/>
        <w:sz w:val="20"/>
        <w:szCs w:val="20"/>
      </w:rPr>
    </w:pPr>
    <w:r w:rsidRPr="008F408B">
      <w:rPr>
        <w:b/>
        <w:bCs/>
        <w:noProof/>
        <w:sz w:val="20"/>
        <w:szCs w:val="20"/>
      </w:rPr>
      <mc:AlternateContent>
        <mc:Choice Requires="wps">
          <w:drawing>
            <wp:anchor distT="0" distB="0" distL="114300" distR="114300" simplePos="0" relativeHeight="251659264" behindDoc="0" locked="0" layoutInCell="1" allowOverlap="1" wp14:anchorId="3AF1908D" wp14:editId="6043322F">
              <wp:simplePos x="0" y="0"/>
              <wp:positionH relativeFrom="column">
                <wp:posOffset>-179763</wp:posOffset>
              </wp:positionH>
              <wp:positionV relativeFrom="paragraph">
                <wp:posOffset>318490</wp:posOffset>
              </wp:positionV>
              <wp:extent cx="622827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28278"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136C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25.1pt" to="47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" strokecolor="#00b2dd [3206]"/>
          </w:pict>
        </mc:Fallback>
      </mc:AlternateContent>
    </w:r>
    <w:r w:rsidRPr="008F408B">
      <w:rPr>
        <w:b/>
        <w:bCs/>
        <w:sz w:val="20"/>
        <w:szCs w:val="20"/>
      </w:rPr>
      <w:t>Last update: Month Year</w:t>
    </w:r>
    <w:r>
      <w:rPr>
        <w:b/>
        <w:bCs/>
        <w:sz w:val="20"/>
        <w:szCs w:val="20"/>
      </w:rPr>
      <w:tab/>
    </w:r>
    <w:r>
      <w:rPr>
        <w:b/>
        <w:bCs/>
        <w:sz w:val="20"/>
        <w:szCs w:val="20"/>
      </w:rPr>
      <w:tab/>
    </w:r>
    <w:r w:rsidRPr="008F408B">
      <w:rPr>
        <w:sz w:val="20"/>
        <w:szCs w:val="20"/>
      </w:rPr>
      <w:t>National Legal Direction  | Title of NLD</w:t>
    </w:r>
  </w:p>
  <w:p w14:paraId="3C651020" w14:textId="77777777" w:rsidR="00D753DA" w:rsidRDefault="00D75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F476" w14:textId="4817C71B" w:rsidR="00D753DA" w:rsidRPr="008F408B" w:rsidRDefault="00D753DA" w:rsidP="00D753DA">
    <w:pPr>
      <w:pStyle w:val="Header"/>
      <w:rPr>
        <w:b/>
        <w:bCs/>
        <w:sz w:val="20"/>
        <w:szCs w:val="20"/>
      </w:rPr>
    </w:pPr>
    <w:r w:rsidRPr="008F408B">
      <w:rPr>
        <w:b/>
        <w:bCs/>
        <w:noProof/>
        <w:sz w:val="20"/>
        <w:szCs w:val="20"/>
      </w:rPr>
      <mc:AlternateContent>
        <mc:Choice Requires="wps">
          <w:drawing>
            <wp:anchor distT="0" distB="0" distL="114300" distR="114300" simplePos="0" relativeHeight="251661312" behindDoc="0" locked="0" layoutInCell="1" allowOverlap="1" wp14:anchorId="2B4818C7" wp14:editId="5279013A">
              <wp:simplePos x="0" y="0"/>
              <wp:positionH relativeFrom="column">
                <wp:posOffset>-176627</wp:posOffset>
              </wp:positionH>
              <wp:positionV relativeFrom="paragraph">
                <wp:posOffset>318938</wp:posOffset>
              </wp:positionV>
              <wp:extent cx="646981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69811"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BC8C6"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25.1pt" to="495.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" strokecolor="#00b2dd [3206]"/>
          </w:pict>
        </mc:Fallback>
      </mc:AlternateContent>
    </w:r>
    <w:r w:rsidRPr="008F408B">
      <w:rPr>
        <w:b/>
        <w:bCs/>
        <w:sz w:val="20"/>
        <w:szCs w:val="20"/>
      </w:rPr>
      <w:t xml:space="preserve">Last update: </w:t>
    </w:r>
    <w:r>
      <w:rPr>
        <w:b/>
        <w:bCs/>
        <w:sz w:val="20"/>
        <w:szCs w:val="20"/>
      </w:rPr>
      <w:t>October 2023</w:t>
    </w:r>
    <w:r>
      <w:rPr>
        <w:b/>
        <w:bCs/>
        <w:sz w:val="20"/>
        <w:szCs w:val="20"/>
      </w:rPr>
      <w:tab/>
      <w:t xml:space="preserve">          </w:t>
    </w:r>
    <w:r>
      <w:rPr>
        <w:b/>
        <w:bCs/>
        <w:sz w:val="20"/>
        <w:szCs w:val="20"/>
      </w:rPr>
      <w:tab/>
    </w:r>
    <w:r w:rsidRPr="008F408B">
      <w:rPr>
        <w:sz w:val="20"/>
        <w:szCs w:val="20"/>
      </w:rPr>
      <w:t xml:space="preserve">National Legal </w:t>
    </w:r>
    <w:r w:rsidR="00430281" w:rsidRPr="008F408B">
      <w:rPr>
        <w:sz w:val="20"/>
        <w:szCs w:val="20"/>
      </w:rPr>
      <w:t>Direction |</w:t>
    </w:r>
    <w:r w:rsidRPr="008F408B">
      <w:rPr>
        <w:sz w:val="20"/>
        <w:szCs w:val="20"/>
      </w:rPr>
      <w:t xml:space="preserve"> </w:t>
    </w:r>
    <w:r>
      <w:rPr>
        <w:sz w:val="20"/>
        <w:szCs w:val="20"/>
      </w:rPr>
      <w:t>Unfitness to be tried/to plead</w:t>
    </w:r>
  </w:p>
  <w:p w14:paraId="7D69C4B6" w14:textId="77777777" w:rsidR="00D753DA" w:rsidRDefault="00D75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0689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72B3A"/>
    <w:multiLevelType w:val="hybridMultilevel"/>
    <w:tmpl w:val="630C17E2"/>
    <w:lvl w:ilvl="0" w:tplc="6A907C6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739DE"/>
    <w:multiLevelType w:val="multilevel"/>
    <w:tmpl w:val="9BC6980E"/>
    <w:lvl w:ilvl="0">
      <w:start w:val="1"/>
      <w:numFmt w:val="upperLetter"/>
      <w:pStyle w:val="Heading1"/>
      <w:lvlText w:val="%1."/>
      <w:lvlJc w:val="left"/>
      <w:pPr>
        <w:ind w:left="360" w:hanging="360"/>
      </w:pPr>
      <w:rPr>
        <w:rFonts w:hint="default"/>
      </w:rPr>
    </w:lvl>
    <w:lvl w:ilvl="1">
      <w:start w:val="1"/>
      <w:numFmt w:val="decimal"/>
      <w:lvlRestart w:val="0"/>
      <w:pStyle w:val="NumberedParagraph"/>
      <w:lvlText w:val="%2."/>
      <w:lvlJc w:val="left"/>
      <w:pPr>
        <w:ind w:left="720" w:hanging="360"/>
      </w:pPr>
      <w:rPr>
        <w:b w:val="0"/>
        <w:bCs w:val="0"/>
        <w:color w:val="auto"/>
      </w:rPr>
    </w:lvl>
    <w:lvl w:ilvl="2">
      <w:start w:val="1"/>
      <w:numFmt w:val="lowerLetter"/>
      <w:pStyle w:val="Tab1"/>
      <w:lvlText w:val="%3."/>
      <w:lvlJc w:val="left"/>
      <w:pPr>
        <w:ind w:left="1080" w:hanging="360"/>
      </w:pPr>
      <w:rPr>
        <w:rFonts w:hint="default"/>
        <w:i w:val="0"/>
        <w:iCs w:val="0"/>
      </w:rPr>
    </w:lvl>
    <w:lvl w:ilvl="3">
      <w:start w:val="1"/>
      <w:numFmt w:val="lowerRoman"/>
      <w:pStyle w:val="Tab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2F6B80"/>
    <w:multiLevelType w:val="multilevel"/>
    <w:tmpl w:val="B6D6DC76"/>
    <w:styleLink w:val="Numberedlist"/>
    <w:lvl w:ilvl="0">
      <w:start w:val="1"/>
      <w:numFmt w:val="decimal"/>
      <w:pStyle w:val="NumberedList1"/>
      <w:lvlText w:val="%1."/>
      <w:lvlJc w:val="left"/>
      <w:pPr>
        <w:ind w:left="284" w:hanging="284"/>
      </w:pPr>
      <w:rPr>
        <w:rFonts w:hint="default"/>
        <w:b/>
      </w:rPr>
    </w:lvl>
    <w:lvl w:ilvl="1">
      <w:start w:val="1"/>
      <w:numFmt w:val="decimal"/>
      <w:pStyle w:val="NumberedList2"/>
      <w:lvlText w:val="%2."/>
      <w:lvlJc w:val="left"/>
      <w:pPr>
        <w:ind w:left="851" w:hanging="284"/>
      </w:pPr>
      <w:rPr>
        <w:rFonts w:hint="default"/>
        <w:b/>
      </w:rPr>
    </w:lvl>
    <w:lvl w:ilvl="2">
      <w:start w:val="1"/>
      <w:numFmt w:val="decimal"/>
      <w:pStyle w:val="NumberedList3"/>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CE268B4"/>
    <w:multiLevelType w:val="hybridMultilevel"/>
    <w:tmpl w:val="D988FA30"/>
    <w:lvl w:ilvl="0" w:tplc="903E42BE">
      <w:start w:val="1"/>
      <w:numFmt w:val="decimal"/>
      <w:lvlText w:val="%1."/>
      <w:lvlJc w:val="left"/>
      <w:pPr>
        <w:ind w:left="359" w:hanging="359"/>
      </w:pPr>
      <w:rPr>
        <w:b w:val="0"/>
        <w:bCs w:val="0"/>
        <w:color w:val="auto"/>
        <w:lang w:bidi="ar-SA"/>
      </w:rPr>
    </w:lvl>
    <w:lvl w:ilvl="1" w:tplc="B596EFDE">
      <w:start w:val="1"/>
      <w:numFmt w:val="lowerLetter"/>
      <w:lvlText w:val="%2."/>
      <w:lvlJc w:val="left"/>
      <w:pPr>
        <w:ind w:left="722" w:hanging="360"/>
      </w:pPr>
      <w:rPr>
        <w:rFonts w:ascii="Calibri" w:eastAsia="Calibri" w:hAnsi="Calibri" w:cs="Calibri" w:hint="default"/>
        <w:b w:val="0"/>
        <w:bCs w:val="0"/>
        <w:i w:val="0"/>
        <w:iCs w:val="0"/>
        <w:color w:val="404040"/>
        <w:spacing w:val="-1"/>
        <w:w w:val="100"/>
        <w:sz w:val="22"/>
        <w:szCs w:val="22"/>
        <w:lang w:val="en-AU" w:eastAsia="en-US" w:bidi="ar-SA"/>
      </w:rPr>
    </w:lvl>
    <w:lvl w:ilvl="2" w:tplc="DC58D9AE">
      <w:numFmt w:val="bullet"/>
      <w:lvlText w:val="•"/>
      <w:lvlJc w:val="left"/>
      <w:pPr>
        <w:ind w:left="1825" w:hanging="360"/>
      </w:pPr>
      <w:rPr>
        <w:rFonts w:hint="default"/>
        <w:lang w:val="en-AU" w:eastAsia="en-US" w:bidi="ar-SA"/>
      </w:rPr>
    </w:lvl>
    <w:lvl w:ilvl="3" w:tplc="8D3CE320">
      <w:numFmt w:val="bullet"/>
      <w:lvlText w:val="•"/>
      <w:lvlJc w:val="left"/>
      <w:pPr>
        <w:ind w:left="2921" w:hanging="360"/>
      </w:pPr>
      <w:rPr>
        <w:rFonts w:hint="default"/>
        <w:lang w:val="en-AU" w:eastAsia="en-US" w:bidi="ar-SA"/>
      </w:rPr>
    </w:lvl>
    <w:lvl w:ilvl="4" w:tplc="C720C864">
      <w:numFmt w:val="bullet"/>
      <w:lvlText w:val="•"/>
      <w:lvlJc w:val="left"/>
      <w:pPr>
        <w:ind w:left="4017" w:hanging="360"/>
      </w:pPr>
      <w:rPr>
        <w:rFonts w:hint="default"/>
        <w:lang w:val="en-AU" w:eastAsia="en-US" w:bidi="ar-SA"/>
      </w:rPr>
    </w:lvl>
    <w:lvl w:ilvl="5" w:tplc="41745CC8">
      <w:numFmt w:val="bullet"/>
      <w:lvlText w:val="•"/>
      <w:lvlJc w:val="left"/>
      <w:pPr>
        <w:ind w:left="5114" w:hanging="360"/>
      </w:pPr>
      <w:rPr>
        <w:rFonts w:hint="default"/>
        <w:lang w:val="en-AU" w:eastAsia="en-US" w:bidi="ar-SA"/>
      </w:rPr>
    </w:lvl>
    <w:lvl w:ilvl="6" w:tplc="CC7AE5C2">
      <w:numFmt w:val="bullet"/>
      <w:lvlText w:val="•"/>
      <w:lvlJc w:val="left"/>
      <w:pPr>
        <w:ind w:left="6210" w:hanging="360"/>
      </w:pPr>
      <w:rPr>
        <w:rFonts w:hint="default"/>
        <w:lang w:val="en-AU" w:eastAsia="en-US" w:bidi="ar-SA"/>
      </w:rPr>
    </w:lvl>
    <w:lvl w:ilvl="7" w:tplc="CACEEAFC">
      <w:numFmt w:val="bullet"/>
      <w:lvlText w:val="•"/>
      <w:lvlJc w:val="left"/>
      <w:pPr>
        <w:ind w:left="7306" w:hanging="360"/>
      </w:pPr>
      <w:rPr>
        <w:rFonts w:hint="default"/>
        <w:lang w:val="en-AU" w:eastAsia="en-US" w:bidi="ar-SA"/>
      </w:rPr>
    </w:lvl>
    <w:lvl w:ilvl="8" w:tplc="44E0CA92">
      <w:numFmt w:val="bullet"/>
      <w:lvlText w:val="•"/>
      <w:lvlJc w:val="left"/>
      <w:pPr>
        <w:ind w:left="8402" w:hanging="360"/>
      </w:pPr>
      <w:rPr>
        <w:rFonts w:hint="default"/>
        <w:lang w:val="en-AU" w:eastAsia="en-US" w:bidi="ar-SA"/>
      </w:rPr>
    </w:lvl>
  </w:abstractNum>
  <w:abstractNum w:abstractNumId="5" w15:restartNumberingAfterBreak="0">
    <w:nsid w:val="12101588"/>
    <w:multiLevelType w:val="hybridMultilevel"/>
    <w:tmpl w:val="3FA2AAF6"/>
    <w:lvl w:ilvl="0" w:tplc="225454DC">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15CA3"/>
    <w:multiLevelType w:val="hybridMultilevel"/>
    <w:tmpl w:val="22BE4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74506"/>
    <w:multiLevelType w:val="multilevel"/>
    <w:tmpl w:val="B6D6DC76"/>
    <w:numStyleLink w:val="Numberedlist"/>
  </w:abstractNum>
  <w:abstractNum w:abstractNumId="8" w15:restartNumberingAfterBreak="0">
    <w:nsid w:val="25171B7A"/>
    <w:multiLevelType w:val="multilevel"/>
    <w:tmpl w:val="42AA01D4"/>
    <w:styleLink w:val="AlphaLists"/>
    <w:lvl w:ilvl="0">
      <w:start w:val="1"/>
      <w:numFmt w:val="upperLetter"/>
      <w:pStyle w:val="AlphaList1"/>
      <w:lvlText w:val="%1."/>
      <w:lvlJc w:val="left"/>
      <w:pPr>
        <w:ind w:left="5672" w:hanging="284"/>
      </w:pPr>
      <w:rPr>
        <w:rFonts w:hint="default"/>
        <w:b/>
      </w:rPr>
    </w:lvl>
    <w:lvl w:ilvl="1">
      <w:start w:val="1"/>
      <w:numFmt w:val="lowerLetter"/>
      <w:pStyle w:val="AlphaList2"/>
      <w:lvlText w:val="%2."/>
      <w:lvlJc w:val="left"/>
      <w:pPr>
        <w:ind w:left="851" w:hanging="284"/>
      </w:pPr>
      <w:rPr>
        <w:rFonts w:hint="default"/>
        <w:b/>
      </w:rPr>
    </w:lvl>
    <w:lvl w:ilvl="2">
      <w:start w:val="1"/>
      <w:numFmt w:val="lowerLetter"/>
      <w:pStyle w:val="AlphaList3"/>
      <w:lvlText w:val="(%3)"/>
      <w:lvlJc w:val="left"/>
      <w:pPr>
        <w:ind w:left="1418" w:hanging="28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AB1379"/>
    <w:multiLevelType w:val="hybridMultilevel"/>
    <w:tmpl w:val="085C048A"/>
    <w:lvl w:ilvl="0" w:tplc="6ECCF86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6842DE"/>
    <w:multiLevelType w:val="hybridMultilevel"/>
    <w:tmpl w:val="3DBE103A"/>
    <w:lvl w:ilvl="0" w:tplc="D6287BDA">
      <w:start w:val="1"/>
      <w:numFmt w:val="decimal"/>
      <w:lvlText w:val="%1."/>
      <w:lvlJc w:val="left"/>
      <w:pPr>
        <w:ind w:left="1080" w:hanging="360"/>
      </w:pPr>
    </w:lvl>
    <w:lvl w:ilvl="1" w:tplc="34F40168">
      <w:start w:val="1"/>
      <w:numFmt w:val="lowerLetter"/>
      <w:lvlText w:val="%2."/>
      <w:lvlJc w:val="left"/>
      <w:pPr>
        <w:ind w:left="1800" w:hanging="360"/>
      </w:pPr>
    </w:lvl>
    <w:lvl w:ilvl="2" w:tplc="B194106A">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0FC236B"/>
    <w:multiLevelType w:val="hybridMultilevel"/>
    <w:tmpl w:val="1E12072C"/>
    <w:lvl w:ilvl="0" w:tplc="2AA0B71C">
      <w:start w:val="6"/>
      <w:numFmt w:val="decimal"/>
      <w:lvlText w:val="%1."/>
      <w:lvlJc w:val="left"/>
      <w:pPr>
        <w:ind w:left="1310" w:hanging="359"/>
      </w:pPr>
      <w:rPr>
        <w:rFonts w:hint="default"/>
        <w:w w:val="100"/>
        <w:lang w:val="en-AU" w:eastAsia="en-US" w:bidi="ar-SA"/>
      </w:rPr>
    </w:lvl>
    <w:lvl w:ilvl="1" w:tplc="673E1164">
      <w:start w:val="1"/>
      <w:numFmt w:val="lowerLetter"/>
      <w:lvlText w:val="%2."/>
      <w:lvlJc w:val="left"/>
      <w:pPr>
        <w:ind w:left="1673" w:hanging="360"/>
      </w:pPr>
      <w:rPr>
        <w:rFonts w:ascii="Calibri" w:eastAsia="Calibri" w:hAnsi="Calibri" w:cs="Calibri" w:hint="default"/>
        <w:b w:val="0"/>
        <w:bCs w:val="0"/>
        <w:i w:val="0"/>
        <w:iCs w:val="0"/>
        <w:color w:val="auto"/>
        <w:spacing w:val="-1"/>
        <w:w w:val="100"/>
        <w:sz w:val="22"/>
        <w:szCs w:val="22"/>
        <w:lang w:val="en-AU" w:eastAsia="en-US" w:bidi="ar-SA"/>
      </w:rPr>
    </w:lvl>
    <w:lvl w:ilvl="2" w:tplc="951861A2">
      <w:start w:val="1"/>
      <w:numFmt w:val="lowerRoman"/>
      <w:lvlText w:val="%3."/>
      <w:lvlJc w:val="left"/>
      <w:pPr>
        <w:ind w:left="3166" w:hanging="286"/>
      </w:pPr>
      <w:rPr>
        <w:rFonts w:ascii="Calibri" w:eastAsia="Calibri" w:hAnsi="Calibri" w:cs="Calibri" w:hint="default"/>
        <w:b w:val="0"/>
        <w:bCs w:val="0"/>
        <w:i w:val="0"/>
        <w:iCs w:val="0"/>
        <w:color w:val="404040"/>
        <w:spacing w:val="-1"/>
        <w:w w:val="100"/>
        <w:sz w:val="22"/>
        <w:szCs w:val="22"/>
        <w:lang w:val="en-AU" w:eastAsia="en-US" w:bidi="ar-SA"/>
      </w:rPr>
    </w:lvl>
    <w:lvl w:ilvl="3" w:tplc="D85274EE">
      <w:numFmt w:val="bullet"/>
      <w:lvlText w:val="•"/>
      <w:lvlJc w:val="left"/>
      <w:pPr>
        <w:ind w:left="3160" w:hanging="286"/>
      </w:pPr>
      <w:rPr>
        <w:rFonts w:hint="default"/>
        <w:lang w:val="en-AU" w:eastAsia="en-US" w:bidi="ar-SA"/>
      </w:rPr>
    </w:lvl>
    <w:lvl w:ilvl="4" w:tplc="297AAE6C">
      <w:numFmt w:val="bullet"/>
      <w:lvlText w:val="•"/>
      <w:lvlJc w:val="left"/>
      <w:pPr>
        <w:ind w:left="4358" w:hanging="286"/>
      </w:pPr>
      <w:rPr>
        <w:rFonts w:hint="default"/>
        <w:lang w:val="en-AU" w:eastAsia="en-US" w:bidi="ar-SA"/>
      </w:rPr>
    </w:lvl>
    <w:lvl w:ilvl="5" w:tplc="DC5EA902">
      <w:numFmt w:val="bullet"/>
      <w:lvlText w:val="•"/>
      <w:lvlJc w:val="left"/>
      <w:pPr>
        <w:ind w:left="5556" w:hanging="286"/>
      </w:pPr>
      <w:rPr>
        <w:rFonts w:hint="default"/>
        <w:lang w:val="en-AU" w:eastAsia="en-US" w:bidi="ar-SA"/>
      </w:rPr>
    </w:lvl>
    <w:lvl w:ilvl="6" w:tplc="2C341C70">
      <w:numFmt w:val="bullet"/>
      <w:lvlText w:val="•"/>
      <w:lvlJc w:val="left"/>
      <w:pPr>
        <w:ind w:left="6754" w:hanging="286"/>
      </w:pPr>
      <w:rPr>
        <w:rFonts w:hint="default"/>
        <w:lang w:val="en-AU" w:eastAsia="en-US" w:bidi="ar-SA"/>
      </w:rPr>
    </w:lvl>
    <w:lvl w:ilvl="7" w:tplc="50B812BE">
      <w:numFmt w:val="bullet"/>
      <w:lvlText w:val="•"/>
      <w:lvlJc w:val="left"/>
      <w:pPr>
        <w:ind w:left="7952" w:hanging="286"/>
      </w:pPr>
      <w:rPr>
        <w:rFonts w:hint="default"/>
        <w:lang w:val="en-AU" w:eastAsia="en-US" w:bidi="ar-SA"/>
      </w:rPr>
    </w:lvl>
    <w:lvl w:ilvl="8" w:tplc="7ABE5562">
      <w:numFmt w:val="bullet"/>
      <w:lvlText w:val="•"/>
      <w:lvlJc w:val="left"/>
      <w:pPr>
        <w:ind w:left="9150" w:hanging="286"/>
      </w:pPr>
      <w:rPr>
        <w:rFonts w:hint="default"/>
        <w:lang w:val="en-AU" w:eastAsia="en-US" w:bidi="ar-SA"/>
      </w:rPr>
    </w:lvl>
  </w:abstractNum>
  <w:abstractNum w:abstractNumId="12" w15:restartNumberingAfterBreak="0">
    <w:nsid w:val="61E27321"/>
    <w:multiLevelType w:val="hybridMultilevel"/>
    <w:tmpl w:val="ADF4E38A"/>
    <w:lvl w:ilvl="0" w:tplc="B1523586">
      <w:start w:val="1"/>
      <w:numFmt w:val="bullet"/>
      <w:pStyle w:val="Bullet3"/>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9B35305"/>
    <w:multiLevelType w:val="hybridMultilevel"/>
    <w:tmpl w:val="74B26DD8"/>
    <w:lvl w:ilvl="0" w:tplc="58F4E450">
      <w:start w:val="1"/>
      <w:numFmt w:val="lowerLetter"/>
      <w:lvlText w:val="%1."/>
      <w:lvlJc w:val="left"/>
      <w:pPr>
        <w:ind w:left="1673" w:hanging="360"/>
      </w:pPr>
      <w:rPr>
        <w:rFonts w:ascii="Calibri" w:eastAsia="Calibri" w:hAnsi="Calibri" w:cs="Calibri" w:hint="default"/>
        <w:b w:val="0"/>
        <w:bCs w:val="0"/>
        <w:i w:val="0"/>
        <w:iCs w:val="0"/>
        <w:color w:val="404040"/>
        <w:spacing w:val="-1"/>
        <w:w w:val="100"/>
        <w:sz w:val="22"/>
        <w:szCs w:val="22"/>
        <w:lang w:val="en-AU" w:eastAsia="en-US" w:bidi="ar-SA"/>
      </w:rPr>
    </w:lvl>
    <w:lvl w:ilvl="1" w:tplc="0C090019">
      <w:start w:val="1"/>
      <w:numFmt w:val="lowerLetter"/>
      <w:lvlText w:val="%2."/>
      <w:lvlJc w:val="left"/>
      <w:pPr>
        <w:ind w:left="1440" w:hanging="360"/>
      </w:pPr>
    </w:lvl>
    <w:lvl w:ilvl="2" w:tplc="522A7248">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386FB7"/>
    <w:multiLevelType w:val="hybridMultilevel"/>
    <w:tmpl w:val="FD44B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5E043B"/>
    <w:multiLevelType w:val="hybridMultilevel"/>
    <w:tmpl w:val="E4EA8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039872">
    <w:abstractNumId w:val="14"/>
  </w:num>
  <w:num w:numId="2" w16cid:durableId="189923727">
    <w:abstractNumId w:val="1"/>
  </w:num>
  <w:num w:numId="3" w16cid:durableId="2043241953">
    <w:abstractNumId w:val="10"/>
  </w:num>
  <w:num w:numId="4" w16cid:durableId="35012265">
    <w:abstractNumId w:val="2"/>
  </w:num>
  <w:num w:numId="5" w16cid:durableId="1940484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38422">
    <w:abstractNumId w:val="0"/>
  </w:num>
  <w:num w:numId="7" w16cid:durableId="1409305965">
    <w:abstractNumId w:val="5"/>
  </w:num>
  <w:num w:numId="8" w16cid:durableId="440612288">
    <w:abstractNumId w:val="12"/>
  </w:num>
  <w:num w:numId="9" w16cid:durableId="278338156">
    <w:abstractNumId w:val="9"/>
  </w:num>
  <w:num w:numId="10" w16cid:durableId="72166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698572">
    <w:abstractNumId w:val="4"/>
  </w:num>
  <w:num w:numId="12" w16cid:durableId="165678422">
    <w:abstractNumId w:val="3"/>
  </w:num>
  <w:num w:numId="13" w16cid:durableId="431124848">
    <w:abstractNumId w:val="7"/>
    <w:lvlOverride w:ilvl="0">
      <w:lvl w:ilvl="0">
        <w:start w:val="1"/>
        <w:numFmt w:val="decimal"/>
        <w:pStyle w:val="NumberedList1"/>
        <w:lvlText w:val="%1."/>
        <w:lvlJc w:val="left"/>
        <w:pPr>
          <w:ind w:left="426" w:hanging="284"/>
        </w:pPr>
        <w:rPr>
          <w:rFonts w:hint="default"/>
          <w:b w:val="0"/>
          <w:bCs/>
          <w:i w:val="0"/>
          <w:color w:val="404040" w:themeColor="text1" w:themeTint="BF"/>
        </w:rPr>
      </w:lvl>
    </w:lvlOverride>
  </w:num>
  <w:num w:numId="14" w16cid:durableId="412434601">
    <w:abstractNumId w:val="11"/>
  </w:num>
  <w:num w:numId="15" w16cid:durableId="13649733">
    <w:abstractNumId w:val="8"/>
    <w:lvlOverride w:ilvl="0">
      <w:lvl w:ilvl="0">
        <w:start w:val="1"/>
        <w:numFmt w:val="upperLetter"/>
        <w:pStyle w:val="AlphaList1"/>
        <w:lvlText w:val="%1."/>
        <w:lvlJc w:val="left"/>
        <w:pPr>
          <w:ind w:left="5672" w:hanging="284"/>
        </w:pPr>
        <w:rPr>
          <w:rFonts w:hint="default"/>
          <w:b/>
        </w:rPr>
      </w:lvl>
    </w:lvlOverride>
    <w:lvlOverride w:ilvl="1">
      <w:lvl w:ilvl="1">
        <w:start w:val="1"/>
        <w:numFmt w:val="lowerLetter"/>
        <w:pStyle w:val="AlphaList2"/>
        <w:lvlText w:val="%2."/>
        <w:lvlJc w:val="left"/>
        <w:pPr>
          <w:ind w:left="851" w:hanging="284"/>
        </w:pPr>
        <w:rPr>
          <w:rFonts w:hint="default"/>
          <w:b w:val="0"/>
          <w:bCs/>
        </w:rPr>
      </w:lvl>
    </w:lvlOverride>
    <w:lvlOverride w:ilvl="2">
      <w:lvl w:ilvl="2">
        <w:start w:val="1"/>
        <w:numFmt w:val="lowerLetter"/>
        <w:pStyle w:val="AlphaList3"/>
        <w:lvlText w:val="(%3)"/>
        <w:lvlJc w:val="left"/>
        <w:pPr>
          <w:ind w:left="1418" w:hanging="284"/>
        </w:pPr>
        <w:rPr>
          <w:rFonts w:hint="default"/>
          <w:b/>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983922410">
    <w:abstractNumId w:val="8"/>
    <w:lvlOverride w:ilvl="0">
      <w:startOverride w:val="1"/>
      <w:lvl w:ilvl="0">
        <w:start w:val="1"/>
        <w:numFmt w:val="upperLetter"/>
        <w:pStyle w:val="AlphaList1"/>
        <w:lvlText w:val="%1."/>
        <w:lvlJc w:val="left"/>
        <w:pPr>
          <w:ind w:left="5672" w:hanging="284"/>
        </w:pPr>
        <w:rPr>
          <w:rFonts w:hint="default"/>
          <w:b/>
        </w:rPr>
      </w:lvl>
    </w:lvlOverride>
    <w:lvlOverride w:ilvl="1">
      <w:startOverride w:val="1"/>
      <w:lvl w:ilvl="1">
        <w:start w:val="1"/>
        <w:numFmt w:val="lowerLetter"/>
        <w:pStyle w:val="AlphaList2"/>
        <w:lvlText w:val="%2."/>
        <w:lvlJc w:val="left"/>
        <w:pPr>
          <w:ind w:left="851" w:hanging="284"/>
        </w:pPr>
        <w:rPr>
          <w:rFonts w:hint="default"/>
          <w:b w:val="0"/>
          <w:bCs/>
        </w:rPr>
      </w:lvl>
    </w:lvlOverride>
    <w:lvlOverride w:ilvl="2">
      <w:startOverride w:val="1"/>
      <w:lvl w:ilvl="2">
        <w:start w:val="1"/>
        <w:numFmt w:val="lowerLetter"/>
        <w:pStyle w:val="AlphaList3"/>
        <w:lvlText w:val="(%3)"/>
        <w:lvlJc w:val="left"/>
        <w:pPr>
          <w:ind w:left="1418" w:hanging="284"/>
        </w:pPr>
        <w:rPr>
          <w:rFonts w:hint="default"/>
          <w:b/>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1296720071">
    <w:abstractNumId w:val="8"/>
  </w:num>
  <w:num w:numId="18" w16cid:durableId="735322210">
    <w:abstractNumId w:val="13"/>
  </w:num>
  <w:num w:numId="19" w16cid:durableId="2126924247">
    <w:abstractNumId w:val="8"/>
    <w:lvlOverride w:ilvl="0">
      <w:startOverride w:val="1"/>
      <w:lvl w:ilvl="0">
        <w:start w:val="1"/>
        <w:numFmt w:val="upperLetter"/>
        <w:pStyle w:val="AlphaList1"/>
        <w:lvlText w:val="%1."/>
        <w:lvlJc w:val="left"/>
        <w:pPr>
          <w:ind w:left="5672" w:hanging="284"/>
        </w:pPr>
        <w:rPr>
          <w:rFonts w:hint="default"/>
          <w:b/>
        </w:rPr>
      </w:lvl>
    </w:lvlOverride>
    <w:lvlOverride w:ilvl="1">
      <w:startOverride w:val="1"/>
      <w:lvl w:ilvl="1">
        <w:start w:val="1"/>
        <w:numFmt w:val="lowerLetter"/>
        <w:pStyle w:val="AlphaList2"/>
        <w:lvlText w:val="%2."/>
        <w:lvlJc w:val="left"/>
        <w:pPr>
          <w:ind w:left="851" w:hanging="284"/>
        </w:pPr>
        <w:rPr>
          <w:rFonts w:hint="default"/>
          <w:b w:val="0"/>
          <w:bCs/>
        </w:rPr>
      </w:lvl>
    </w:lvlOverride>
    <w:lvlOverride w:ilvl="2">
      <w:startOverride w:val="1"/>
      <w:lvl w:ilvl="2">
        <w:start w:val="1"/>
        <w:numFmt w:val="lowerLetter"/>
        <w:pStyle w:val="AlphaList3"/>
        <w:lvlText w:val="(%3)"/>
        <w:lvlJc w:val="left"/>
        <w:pPr>
          <w:ind w:left="1418" w:hanging="284"/>
        </w:pPr>
        <w:rPr>
          <w:rFonts w:hint="default"/>
          <w:b/>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269316971">
    <w:abstractNumId w:val="15"/>
  </w:num>
  <w:num w:numId="21" w16cid:durableId="1710304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C0"/>
    <w:rsid w:val="000406DC"/>
    <w:rsid w:val="00051592"/>
    <w:rsid w:val="00055BE0"/>
    <w:rsid w:val="00091E0C"/>
    <w:rsid w:val="00105953"/>
    <w:rsid w:val="001A05A7"/>
    <w:rsid w:val="001C0432"/>
    <w:rsid w:val="001D73BA"/>
    <w:rsid w:val="001E54E0"/>
    <w:rsid w:val="001F34BC"/>
    <w:rsid w:val="002234ED"/>
    <w:rsid w:val="0024203C"/>
    <w:rsid w:val="00242754"/>
    <w:rsid w:val="0026548A"/>
    <w:rsid w:val="002B5707"/>
    <w:rsid w:val="002B62F1"/>
    <w:rsid w:val="002F0468"/>
    <w:rsid w:val="002F1FAA"/>
    <w:rsid w:val="003740AD"/>
    <w:rsid w:val="003A68D7"/>
    <w:rsid w:val="00404276"/>
    <w:rsid w:val="00430281"/>
    <w:rsid w:val="004518B2"/>
    <w:rsid w:val="00460C51"/>
    <w:rsid w:val="004D3A5D"/>
    <w:rsid w:val="00546775"/>
    <w:rsid w:val="00571627"/>
    <w:rsid w:val="00581381"/>
    <w:rsid w:val="005D55A2"/>
    <w:rsid w:val="006019B4"/>
    <w:rsid w:val="00622B56"/>
    <w:rsid w:val="006243FB"/>
    <w:rsid w:val="0063344D"/>
    <w:rsid w:val="006412C0"/>
    <w:rsid w:val="00666763"/>
    <w:rsid w:val="00682A9B"/>
    <w:rsid w:val="006E110D"/>
    <w:rsid w:val="006E7C37"/>
    <w:rsid w:val="006F15E1"/>
    <w:rsid w:val="006F271A"/>
    <w:rsid w:val="0070502D"/>
    <w:rsid w:val="0079024E"/>
    <w:rsid w:val="007B094C"/>
    <w:rsid w:val="00814F30"/>
    <w:rsid w:val="0083174B"/>
    <w:rsid w:val="0084368E"/>
    <w:rsid w:val="008B23B2"/>
    <w:rsid w:val="008C18FD"/>
    <w:rsid w:val="008F408B"/>
    <w:rsid w:val="009F40F1"/>
    <w:rsid w:val="00A71F47"/>
    <w:rsid w:val="00AF4DD2"/>
    <w:rsid w:val="00B210B2"/>
    <w:rsid w:val="00B43C3B"/>
    <w:rsid w:val="00B82401"/>
    <w:rsid w:val="00B94116"/>
    <w:rsid w:val="00BB05F2"/>
    <w:rsid w:val="00BF0AD5"/>
    <w:rsid w:val="00C03C45"/>
    <w:rsid w:val="00C25479"/>
    <w:rsid w:val="00C53615"/>
    <w:rsid w:val="00C538A6"/>
    <w:rsid w:val="00C56983"/>
    <w:rsid w:val="00C61B46"/>
    <w:rsid w:val="00CA4C42"/>
    <w:rsid w:val="00CE351A"/>
    <w:rsid w:val="00D04479"/>
    <w:rsid w:val="00D60426"/>
    <w:rsid w:val="00D753DA"/>
    <w:rsid w:val="00D92FD4"/>
    <w:rsid w:val="00DA1AC6"/>
    <w:rsid w:val="00DD4F1F"/>
    <w:rsid w:val="00DF11DB"/>
    <w:rsid w:val="00E22D30"/>
    <w:rsid w:val="00E27FD9"/>
    <w:rsid w:val="00E34801"/>
    <w:rsid w:val="00E47480"/>
    <w:rsid w:val="00E81233"/>
    <w:rsid w:val="00E87483"/>
    <w:rsid w:val="00ED71BA"/>
    <w:rsid w:val="00F04439"/>
    <w:rsid w:val="00F0552F"/>
    <w:rsid w:val="00F17117"/>
    <w:rsid w:val="00F31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AC2D8"/>
  <w15:chartTrackingRefBased/>
  <w15:docId w15:val="{6BB7100C-F019-4E85-8B96-65C43318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2B62F1"/>
    <w:pPr>
      <w:spacing w:before="200" w:after="0"/>
      <w:jc w:val="both"/>
    </w:pPr>
  </w:style>
  <w:style w:type="paragraph" w:styleId="Heading1">
    <w:name w:val="heading 1"/>
    <w:basedOn w:val="Normal"/>
    <w:next w:val="Normal"/>
    <w:link w:val="Heading1Char"/>
    <w:uiPriority w:val="9"/>
    <w:qFormat/>
    <w:rsid w:val="007B094C"/>
    <w:pPr>
      <w:keepNext/>
      <w:keepLines/>
      <w:numPr>
        <w:numId w:val="4"/>
      </w:numPr>
      <w:spacing w:before="240"/>
      <w:outlineLvl w:val="0"/>
    </w:pPr>
    <w:rPr>
      <w:rFonts w:asciiTheme="majorHAnsi" w:eastAsiaTheme="majorEastAsia" w:hAnsiTheme="majorHAnsi" w:cstheme="minorHAnsi"/>
      <w:b/>
      <w:bCs/>
      <w:caps/>
      <w:color w:val="010101" w:themeColor="text1"/>
      <w:szCs w:val="32"/>
    </w:rPr>
  </w:style>
  <w:style w:type="paragraph" w:styleId="Heading2">
    <w:name w:val="heading 2"/>
    <w:basedOn w:val="Heading1"/>
    <w:next w:val="Normal"/>
    <w:link w:val="Heading2Char"/>
    <w:uiPriority w:val="9"/>
    <w:unhideWhenUsed/>
    <w:qFormat/>
    <w:rsid w:val="003740AD"/>
    <w:pPr>
      <w:numPr>
        <w:numId w:val="0"/>
      </w:numPr>
      <w:outlineLvl w:val="1"/>
    </w:pPr>
    <w:rPr>
      <w:rFonts w:cstheme="majorHAnsi"/>
      <w:caps w:val="0"/>
    </w:rPr>
  </w:style>
  <w:style w:type="paragraph" w:styleId="Heading3">
    <w:name w:val="heading 3"/>
    <w:basedOn w:val="Normal"/>
    <w:next w:val="Normal"/>
    <w:link w:val="Heading3Char"/>
    <w:uiPriority w:val="9"/>
    <w:unhideWhenUsed/>
    <w:qFormat/>
    <w:rsid w:val="007B094C"/>
    <w:pPr>
      <w:keepNext/>
      <w:keepLines/>
      <w:spacing w:before="240"/>
      <w:outlineLvl w:val="2"/>
    </w:pPr>
    <w:rPr>
      <w:rFonts w:eastAsiaTheme="majorEastAsia" w:cstheme="majorBidi"/>
      <w:b/>
      <w:bCs/>
      <w:szCs w:val="24"/>
      <w:u w:val="single"/>
    </w:rPr>
  </w:style>
  <w:style w:type="paragraph" w:styleId="Heading4">
    <w:name w:val="heading 4"/>
    <w:basedOn w:val="Normal"/>
    <w:next w:val="Normal"/>
    <w:link w:val="Heading4Char"/>
    <w:uiPriority w:val="9"/>
    <w:unhideWhenUsed/>
    <w:qFormat/>
    <w:rsid w:val="007B094C"/>
    <w:pPr>
      <w:keepNext/>
      <w:keepLines/>
      <w:spacing w:before="240"/>
      <w:outlineLvl w:val="3"/>
    </w:pPr>
    <w:rPr>
      <w:rFonts w:ascii="Calibri" w:eastAsiaTheme="majorEastAsia" w:hAnsi="Calibr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94C"/>
    <w:rPr>
      <w:rFonts w:asciiTheme="majorHAnsi" w:eastAsiaTheme="majorEastAsia" w:hAnsiTheme="majorHAnsi" w:cstheme="minorHAnsi"/>
      <w:b/>
      <w:bCs/>
      <w:caps/>
      <w:color w:val="010101" w:themeColor="text1"/>
      <w:szCs w:val="32"/>
    </w:rPr>
  </w:style>
  <w:style w:type="paragraph" w:customStyle="1" w:styleId="NumberedParagraph">
    <w:name w:val="Numbered Paragraph"/>
    <w:basedOn w:val="ListParagraph"/>
    <w:link w:val="NumberedParagraphChar"/>
    <w:qFormat/>
    <w:rsid w:val="008F408B"/>
    <w:pPr>
      <w:numPr>
        <w:ilvl w:val="1"/>
        <w:numId w:val="4"/>
      </w:numPr>
      <w:ind w:left="425" w:hanging="425"/>
      <w:contextualSpacing w:val="0"/>
    </w:pPr>
    <w:rPr>
      <w:rFonts w:ascii="Calibri" w:hAnsi="Calibri"/>
      <w:bCs/>
    </w:rPr>
  </w:style>
  <w:style w:type="paragraph" w:customStyle="1" w:styleId="Tab1">
    <w:name w:val="Tab 1"/>
    <w:basedOn w:val="List"/>
    <w:link w:val="Tab1Char"/>
    <w:qFormat/>
    <w:rsid w:val="008F408B"/>
    <w:pPr>
      <w:numPr>
        <w:ilvl w:val="2"/>
        <w:numId w:val="4"/>
      </w:numPr>
      <w:ind w:left="850" w:hanging="425"/>
    </w:pPr>
  </w:style>
  <w:style w:type="character" w:customStyle="1" w:styleId="NumberedParagraphChar">
    <w:name w:val="Numbered Paragraph Char"/>
    <w:basedOn w:val="Heading1Char"/>
    <w:link w:val="NumberedParagraph"/>
    <w:rsid w:val="008F408B"/>
    <w:rPr>
      <w:rFonts w:ascii="Calibri" w:eastAsiaTheme="majorEastAsia" w:hAnsi="Calibri" w:cstheme="minorHAnsi"/>
      <w:b w:val="0"/>
      <w:bCs/>
      <w:caps w:val="0"/>
      <w:color w:val="010101" w:themeColor="text1"/>
      <w:szCs w:val="32"/>
    </w:rPr>
  </w:style>
  <w:style w:type="paragraph" w:customStyle="1" w:styleId="Tab2">
    <w:name w:val="Tab 2"/>
    <w:basedOn w:val="List"/>
    <w:link w:val="Tab2Char"/>
    <w:qFormat/>
    <w:rsid w:val="008F408B"/>
    <w:pPr>
      <w:numPr>
        <w:ilvl w:val="3"/>
        <w:numId w:val="4"/>
      </w:numPr>
      <w:ind w:left="1315" w:hanging="425"/>
    </w:pPr>
  </w:style>
  <w:style w:type="character" w:customStyle="1" w:styleId="Tab1Char">
    <w:name w:val="Tab 1 Char"/>
    <w:basedOn w:val="NumberedParagraphChar"/>
    <w:link w:val="Tab1"/>
    <w:rsid w:val="008F408B"/>
    <w:rPr>
      <w:rFonts w:ascii="Calibri" w:eastAsiaTheme="majorEastAsia" w:hAnsi="Calibri" w:cstheme="minorHAnsi"/>
      <w:b w:val="0"/>
      <w:bCs w:val="0"/>
      <w:caps w:val="0"/>
      <w:color w:val="010101" w:themeColor="text1"/>
      <w:szCs w:val="32"/>
    </w:rPr>
  </w:style>
  <w:style w:type="character" w:customStyle="1" w:styleId="Tab2Char">
    <w:name w:val="Tab 2 Char"/>
    <w:basedOn w:val="Tab1Char"/>
    <w:link w:val="Tab2"/>
    <w:rsid w:val="008F408B"/>
    <w:rPr>
      <w:rFonts w:ascii="Calibri" w:eastAsiaTheme="majorEastAsia" w:hAnsi="Calibri" w:cstheme="minorHAnsi"/>
      <w:b w:val="0"/>
      <w:bCs w:val="0"/>
      <w:caps w:val="0"/>
      <w:color w:val="010101" w:themeColor="text1"/>
      <w:szCs w:val="32"/>
    </w:rPr>
  </w:style>
  <w:style w:type="paragraph" w:styleId="Header">
    <w:name w:val="header"/>
    <w:basedOn w:val="Normal"/>
    <w:link w:val="HeaderChar"/>
    <w:uiPriority w:val="99"/>
    <w:unhideWhenUsed/>
    <w:rsid w:val="00DF11DB"/>
    <w:pPr>
      <w:tabs>
        <w:tab w:val="center" w:pos="4513"/>
        <w:tab w:val="right" w:pos="9026"/>
      </w:tabs>
      <w:spacing w:line="240" w:lineRule="auto"/>
    </w:pPr>
  </w:style>
  <w:style w:type="character" w:customStyle="1" w:styleId="HeaderChar">
    <w:name w:val="Header Char"/>
    <w:basedOn w:val="DefaultParagraphFont"/>
    <w:link w:val="Header"/>
    <w:uiPriority w:val="99"/>
    <w:rsid w:val="00DF11DB"/>
  </w:style>
  <w:style w:type="paragraph" w:styleId="Footer">
    <w:name w:val="footer"/>
    <w:basedOn w:val="Normal"/>
    <w:link w:val="FooterChar"/>
    <w:uiPriority w:val="99"/>
    <w:unhideWhenUsed/>
    <w:rsid w:val="00DF11DB"/>
    <w:pPr>
      <w:tabs>
        <w:tab w:val="center" w:pos="4513"/>
        <w:tab w:val="right" w:pos="9026"/>
      </w:tabs>
      <w:spacing w:line="240" w:lineRule="auto"/>
    </w:pPr>
  </w:style>
  <w:style w:type="character" w:customStyle="1" w:styleId="FooterChar">
    <w:name w:val="Footer Char"/>
    <w:basedOn w:val="DefaultParagraphFont"/>
    <w:link w:val="Footer"/>
    <w:uiPriority w:val="99"/>
    <w:rsid w:val="00DF11DB"/>
  </w:style>
  <w:style w:type="paragraph" w:styleId="Title">
    <w:name w:val="Title"/>
    <w:basedOn w:val="Normal"/>
    <w:next w:val="Normal"/>
    <w:link w:val="TitleChar"/>
    <w:uiPriority w:val="10"/>
    <w:qFormat/>
    <w:rsid w:val="008B23B2"/>
    <w:pPr>
      <w:spacing w:before="320" w:line="240" w:lineRule="auto"/>
    </w:pPr>
    <w:rPr>
      <w:rFonts w:eastAsiaTheme="majorEastAsia" w:cstheme="minorHAnsi"/>
      <w:b/>
      <w:bCs/>
      <w:color w:val="0E374B" w:themeColor="accent1"/>
      <w:spacing w:val="-10"/>
      <w:kern w:val="28"/>
      <w:sz w:val="44"/>
      <w:szCs w:val="44"/>
    </w:rPr>
  </w:style>
  <w:style w:type="character" w:customStyle="1" w:styleId="TitleChar">
    <w:name w:val="Title Char"/>
    <w:basedOn w:val="DefaultParagraphFont"/>
    <w:link w:val="Title"/>
    <w:uiPriority w:val="10"/>
    <w:rsid w:val="008B23B2"/>
    <w:rPr>
      <w:rFonts w:eastAsiaTheme="majorEastAsia" w:cstheme="minorHAnsi"/>
      <w:b/>
      <w:bCs/>
      <w:color w:val="0E374B" w:themeColor="accent1"/>
      <w:spacing w:val="-10"/>
      <w:kern w:val="28"/>
      <w:sz w:val="44"/>
      <w:szCs w:val="44"/>
    </w:rPr>
  </w:style>
  <w:style w:type="paragraph" w:styleId="TOCHeading">
    <w:name w:val="TOC Heading"/>
    <w:basedOn w:val="Heading1"/>
    <w:next w:val="Normal"/>
    <w:uiPriority w:val="39"/>
    <w:unhideWhenUsed/>
    <w:qFormat/>
    <w:rsid w:val="00DF11DB"/>
    <w:pPr>
      <w:numPr>
        <w:numId w:val="0"/>
      </w:numPr>
      <w:spacing w:after="240" w:line="240" w:lineRule="auto"/>
      <w:outlineLvl w:val="9"/>
    </w:pPr>
    <w:rPr>
      <w:rFonts w:cstheme="majorBidi"/>
      <w:bCs w:val="0"/>
      <w:color w:val="0A2837" w:themeColor="accent1" w:themeShade="BF"/>
      <w:lang w:val="en-US"/>
    </w:rPr>
  </w:style>
  <w:style w:type="paragraph" w:styleId="TOC1">
    <w:name w:val="toc 1"/>
    <w:basedOn w:val="Normal"/>
    <w:next w:val="Normal"/>
    <w:autoRedefine/>
    <w:uiPriority w:val="39"/>
    <w:unhideWhenUsed/>
    <w:rsid w:val="00DF11DB"/>
    <w:pPr>
      <w:spacing w:before="120"/>
      <w:jc w:val="left"/>
    </w:pPr>
    <w:rPr>
      <w:rFonts w:cstheme="minorHAnsi"/>
      <w:b/>
      <w:bCs/>
      <w:i/>
      <w:iCs/>
      <w:sz w:val="24"/>
      <w:szCs w:val="24"/>
    </w:rPr>
  </w:style>
  <w:style w:type="character" w:styleId="Hyperlink">
    <w:name w:val="Hyperlink"/>
    <w:basedOn w:val="DefaultParagraphFont"/>
    <w:uiPriority w:val="99"/>
    <w:unhideWhenUsed/>
    <w:rsid w:val="00DF11DB"/>
    <w:rPr>
      <w:color w:val="1E78A3" w:themeColor="hyperlink"/>
      <w:u w:val="single"/>
    </w:rPr>
  </w:style>
  <w:style w:type="character" w:customStyle="1" w:styleId="Heading2Char">
    <w:name w:val="Heading 2 Char"/>
    <w:basedOn w:val="DefaultParagraphFont"/>
    <w:link w:val="Heading2"/>
    <w:uiPriority w:val="9"/>
    <w:rsid w:val="003740AD"/>
    <w:rPr>
      <w:rFonts w:asciiTheme="majorHAnsi" w:eastAsiaTheme="majorEastAsia" w:hAnsiTheme="majorHAnsi" w:cstheme="majorHAnsi"/>
      <w:b/>
      <w:bCs/>
      <w:color w:val="010101" w:themeColor="text1"/>
      <w:szCs w:val="32"/>
    </w:rPr>
  </w:style>
  <w:style w:type="character" w:customStyle="1" w:styleId="Heading3Char">
    <w:name w:val="Heading 3 Char"/>
    <w:basedOn w:val="DefaultParagraphFont"/>
    <w:link w:val="Heading3"/>
    <w:uiPriority w:val="9"/>
    <w:rsid w:val="007B094C"/>
    <w:rPr>
      <w:rFonts w:eastAsiaTheme="majorEastAsia" w:cstheme="majorBidi"/>
      <w:b/>
      <w:bCs/>
      <w:szCs w:val="24"/>
      <w:u w:val="single"/>
    </w:rPr>
  </w:style>
  <w:style w:type="character" w:customStyle="1" w:styleId="Heading4Char">
    <w:name w:val="Heading 4 Char"/>
    <w:basedOn w:val="DefaultParagraphFont"/>
    <w:link w:val="Heading4"/>
    <w:uiPriority w:val="9"/>
    <w:rsid w:val="007B094C"/>
    <w:rPr>
      <w:rFonts w:ascii="Calibri" w:eastAsiaTheme="majorEastAsia" w:hAnsi="Calibri" w:cstheme="majorBidi"/>
      <w:b/>
      <w:i/>
      <w:iCs/>
    </w:rPr>
  </w:style>
  <w:style w:type="paragraph" w:styleId="Subtitle">
    <w:name w:val="Subtitle"/>
    <w:basedOn w:val="Normal"/>
    <w:next w:val="Normal"/>
    <w:link w:val="SubtitleChar"/>
    <w:uiPriority w:val="11"/>
    <w:qFormat/>
    <w:rsid w:val="007B094C"/>
    <w:pPr>
      <w:numPr>
        <w:ilvl w:val="1"/>
      </w:numPr>
      <w:spacing w:after="160"/>
    </w:pPr>
    <w:rPr>
      <w:rFonts w:eastAsiaTheme="minorEastAsia"/>
      <w:b/>
      <w:spacing w:val="15"/>
      <w:sz w:val="20"/>
    </w:rPr>
  </w:style>
  <w:style w:type="character" w:customStyle="1" w:styleId="SubtitleChar">
    <w:name w:val="Subtitle Char"/>
    <w:basedOn w:val="DefaultParagraphFont"/>
    <w:link w:val="Subtitle"/>
    <w:uiPriority w:val="11"/>
    <w:rsid w:val="007B094C"/>
    <w:rPr>
      <w:rFonts w:eastAsiaTheme="minorEastAsia"/>
      <w:b/>
      <w:spacing w:val="15"/>
      <w:sz w:val="20"/>
    </w:rPr>
  </w:style>
  <w:style w:type="table" w:styleId="TableGrid">
    <w:name w:val="Table Grid"/>
    <w:basedOn w:val="TableNormal"/>
    <w:uiPriority w:val="59"/>
    <w:rsid w:val="007B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82A9B"/>
    <w:pPr>
      <w:spacing w:before="120"/>
      <w:ind w:left="220"/>
      <w:jc w:val="left"/>
    </w:pPr>
    <w:rPr>
      <w:rFonts w:cstheme="minorHAnsi"/>
      <w:b/>
      <w:bCs/>
    </w:rPr>
  </w:style>
  <w:style w:type="paragraph" w:styleId="TOC3">
    <w:name w:val="toc 3"/>
    <w:basedOn w:val="Normal"/>
    <w:next w:val="Normal"/>
    <w:autoRedefine/>
    <w:uiPriority w:val="39"/>
    <w:unhideWhenUsed/>
    <w:rsid w:val="003740AD"/>
    <w:pPr>
      <w:spacing w:before="0"/>
      <w:ind w:left="440"/>
      <w:jc w:val="left"/>
    </w:pPr>
    <w:rPr>
      <w:rFonts w:cstheme="minorHAnsi"/>
      <w:sz w:val="20"/>
      <w:szCs w:val="20"/>
    </w:rPr>
  </w:style>
  <w:style w:type="table" w:styleId="GridTable4-Accent1">
    <w:name w:val="Grid Table 4 Accent 1"/>
    <w:basedOn w:val="TableNormal"/>
    <w:uiPriority w:val="49"/>
    <w:rsid w:val="003740AD"/>
    <w:pPr>
      <w:spacing w:after="0" w:line="240" w:lineRule="auto"/>
    </w:pPr>
    <w:tblPr>
      <w:tblStyleRowBandSize w:val="1"/>
      <w:tblStyleColBandSize w:val="1"/>
      <w:tblBorders>
        <w:top w:val="single" w:sz="4" w:space="0" w:color="2A9ED7" w:themeColor="accent1" w:themeTint="99"/>
        <w:left w:val="single" w:sz="4" w:space="0" w:color="2A9ED7" w:themeColor="accent1" w:themeTint="99"/>
        <w:bottom w:val="single" w:sz="4" w:space="0" w:color="2A9ED7" w:themeColor="accent1" w:themeTint="99"/>
        <w:right w:val="single" w:sz="4" w:space="0" w:color="2A9ED7" w:themeColor="accent1" w:themeTint="99"/>
        <w:insideH w:val="single" w:sz="4" w:space="0" w:color="2A9ED7" w:themeColor="accent1" w:themeTint="99"/>
        <w:insideV w:val="single" w:sz="4" w:space="0" w:color="2A9ED7" w:themeColor="accent1" w:themeTint="99"/>
      </w:tblBorders>
    </w:tblPr>
    <w:tblStylePr w:type="firstRow">
      <w:rPr>
        <w:b/>
        <w:bCs/>
        <w:color w:val="FFFFFF" w:themeColor="background1"/>
      </w:rPr>
      <w:tblPr/>
      <w:tcPr>
        <w:tcBorders>
          <w:top w:val="single" w:sz="4" w:space="0" w:color="0E374B" w:themeColor="accent1"/>
          <w:left w:val="single" w:sz="4" w:space="0" w:color="0E374B" w:themeColor="accent1"/>
          <w:bottom w:val="single" w:sz="4" w:space="0" w:color="0E374B" w:themeColor="accent1"/>
          <w:right w:val="single" w:sz="4" w:space="0" w:color="0E374B" w:themeColor="accent1"/>
          <w:insideH w:val="nil"/>
          <w:insideV w:val="nil"/>
        </w:tcBorders>
        <w:shd w:val="clear" w:color="auto" w:fill="0E374B" w:themeFill="accent1"/>
      </w:tcPr>
    </w:tblStylePr>
    <w:tblStylePr w:type="lastRow">
      <w:rPr>
        <w:b/>
        <w:bCs/>
      </w:rPr>
      <w:tblPr/>
      <w:tcPr>
        <w:tcBorders>
          <w:top w:val="double" w:sz="4" w:space="0" w:color="0E374B" w:themeColor="accent1"/>
        </w:tcBorders>
      </w:tcPr>
    </w:tblStylePr>
    <w:tblStylePr w:type="firstCol">
      <w:rPr>
        <w:b/>
        <w:bCs/>
      </w:rPr>
    </w:tblStylePr>
    <w:tblStylePr w:type="lastCol">
      <w:rPr>
        <w:b/>
        <w:bCs/>
      </w:rPr>
    </w:tblStylePr>
    <w:tblStylePr w:type="band1Vert">
      <w:tblPr/>
      <w:tcPr>
        <w:shd w:val="clear" w:color="auto" w:fill="B7DEF1" w:themeFill="accent1" w:themeFillTint="33"/>
      </w:tcPr>
    </w:tblStylePr>
    <w:tblStylePr w:type="band1Horz">
      <w:tblPr/>
      <w:tcPr>
        <w:shd w:val="clear" w:color="auto" w:fill="B7DEF1" w:themeFill="accent1" w:themeFillTint="33"/>
      </w:tcPr>
    </w:tblStylePr>
  </w:style>
  <w:style w:type="paragraph" w:styleId="ListParagraph">
    <w:name w:val="List Paragraph"/>
    <w:aliases w:val="AAAAA List Paragraph"/>
    <w:basedOn w:val="Normal"/>
    <w:link w:val="ListParagraphChar"/>
    <w:uiPriority w:val="1"/>
    <w:qFormat/>
    <w:rsid w:val="003740AD"/>
    <w:pPr>
      <w:ind w:left="720"/>
      <w:contextualSpacing/>
    </w:pPr>
  </w:style>
  <w:style w:type="paragraph" w:styleId="List">
    <w:name w:val="List"/>
    <w:basedOn w:val="Normal"/>
    <w:uiPriority w:val="99"/>
    <w:semiHidden/>
    <w:unhideWhenUsed/>
    <w:rsid w:val="003740AD"/>
    <w:pPr>
      <w:ind w:left="283" w:hanging="283"/>
      <w:contextualSpacing/>
    </w:pPr>
  </w:style>
  <w:style w:type="paragraph" w:customStyle="1" w:styleId="Bullet1">
    <w:name w:val="Bullet 1"/>
    <w:basedOn w:val="ListBullet"/>
    <w:link w:val="Bullet1Char"/>
    <w:qFormat/>
    <w:rsid w:val="008B23B2"/>
    <w:pPr>
      <w:ind w:left="425" w:hanging="425"/>
      <w:contextualSpacing w:val="0"/>
    </w:pPr>
  </w:style>
  <w:style w:type="paragraph" w:customStyle="1" w:styleId="Bullet2">
    <w:name w:val="Bullet 2"/>
    <w:basedOn w:val="Bullet1"/>
    <w:link w:val="Bullet2Char"/>
    <w:qFormat/>
    <w:rsid w:val="008B23B2"/>
    <w:pPr>
      <w:numPr>
        <w:numId w:val="7"/>
      </w:numPr>
    </w:pPr>
  </w:style>
  <w:style w:type="paragraph" w:styleId="ListBullet">
    <w:name w:val="List Bullet"/>
    <w:basedOn w:val="Normal"/>
    <w:link w:val="ListBulletChar"/>
    <w:uiPriority w:val="99"/>
    <w:semiHidden/>
    <w:unhideWhenUsed/>
    <w:rsid w:val="008B23B2"/>
    <w:pPr>
      <w:numPr>
        <w:numId w:val="6"/>
      </w:numPr>
      <w:contextualSpacing/>
    </w:pPr>
  </w:style>
  <w:style w:type="character" w:customStyle="1" w:styleId="ListBulletChar">
    <w:name w:val="List Bullet Char"/>
    <w:basedOn w:val="DefaultParagraphFont"/>
    <w:link w:val="ListBullet"/>
    <w:uiPriority w:val="99"/>
    <w:semiHidden/>
    <w:rsid w:val="008B23B2"/>
  </w:style>
  <w:style w:type="character" w:customStyle="1" w:styleId="Bullet1Char">
    <w:name w:val="Bullet 1 Char"/>
    <w:basedOn w:val="ListBulletChar"/>
    <w:link w:val="Bullet1"/>
    <w:rsid w:val="008B23B2"/>
  </w:style>
  <w:style w:type="paragraph" w:customStyle="1" w:styleId="Bullet3">
    <w:name w:val="Bullet 3"/>
    <w:basedOn w:val="Bullet2"/>
    <w:link w:val="Bullet3Char"/>
    <w:qFormat/>
    <w:rsid w:val="008B23B2"/>
    <w:pPr>
      <w:numPr>
        <w:numId w:val="8"/>
      </w:numPr>
      <w:ind w:left="1145" w:hanging="425"/>
    </w:pPr>
  </w:style>
  <w:style w:type="character" w:customStyle="1" w:styleId="Bullet2Char">
    <w:name w:val="Bullet 2 Char"/>
    <w:basedOn w:val="Bullet1Char"/>
    <w:link w:val="Bullet2"/>
    <w:rsid w:val="008B23B2"/>
  </w:style>
  <w:style w:type="character" w:customStyle="1" w:styleId="Bullet3Char">
    <w:name w:val="Bullet 3 Char"/>
    <w:basedOn w:val="Bullet2Char"/>
    <w:link w:val="Bullet3"/>
    <w:rsid w:val="008B23B2"/>
  </w:style>
  <w:style w:type="paragraph" w:styleId="FootnoteText">
    <w:name w:val="footnote text"/>
    <w:aliases w:val="ft,Footnote Text Char Char Char Char Char"/>
    <w:basedOn w:val="Normal"/>
    <w:link w:val="FootnoteTextChar"/>
    <w:unhideWhenUsed/>
    <w:qFormat/>
    <w:rsid w:val="009F40F1"/>
    <w:pPr>
      <w:suppressAutoHyphens/>
      <w:spacing w:before="0" w:line="240" w:lineRule="auto"/>
      <w:jc w:val="left"/>
    </w:pPr>
    <w:rPr>
      <w:rFonts w:ascii="Calibri" w:hAnsi="Calibri"/>
      <w:color w:val="0E374B" w:themeColor="accent1"/>
      <w:sz w:val="20"/>
      <w:szCs w:val="20"/>
    </w:rPr>
  </w:style>
  <w:style w:type="character" w:customStyle="1" w:styleId="FootnoteTextChar">
    <w:name w:val="Footnote Text Char"/>
    <w:aliases w:val="ft Char,Footnote Text Char Char Char Char Char Char"/>
    <w:basedOn w:val="DefaultParagraphFont"/>
    <w:link w:val="FootnoteText"/>
    <w:rsid w:val="009F40F1"/>
    <w:rPr>
      <w:rFonts w:ascii="Calibri" w:hAnsi="Calibri"/>
      <w:color w:val="0E374B" w:themeColor="accent1"/>
      <w:sz w:val="20"/>
      <w:szCs w:val="20"/>
    </w:rPr>
  </w:style>
  <w:style w:type="character" w:styleId="FootnoteReference">
    <w:name w:val="footnote reference"/>
    <w:basedOn w:val="DefaultParagraphFont"/>
    <w:unhideWhenUsed/>
    <w:rsid w:val="009F40F1"/>
    <w:rPr>
      <w:vertAlign w:val="superscript"/>
    </w:rPr>
  </w:style>
  <w:style w:type="character" w:customStyle="1" w:styleId="ListParagraphChar">
    <w:name w:val="List Paragraph Char"/>
    <w:aliases w:val="AAAAA List Paragraph Char"/>
    <w:basedOn w:val="DefaultParagraphFont"/>
    <w:link w:val="ListParagraph"/>
    <w:uiPriority w:val="1"/>
    <w:rsid w:val="009F40F1"/>
  </w:style>
  <w:style w:type="paragraph" w:customStyle="1" w:styleId="NumberedList1">
    <w:name w:val="Numbered List 1"/>
    <w:basedOn w:val="Normal"/>
    <w:rsid w:val="009F40F1"/>
    <w:pPr>
      <w:numPr>
        <w:numId w:val="13"/>
      </w:numPr>
      <w:suppressAutoHyphens/>
      <w:spacing w:before="0" w:after="100" w:line="240" w:lineRule="auto"/>
      <w:ind w:left="340" w:hanging="340"/>
    </w:pPr>
    <w:rPr>
      <w:rFonts w:ascii="Calibri" w:hAnsi="Calibri"/>
      <w:color w:val="0E374B" w:themeColor="accent1"/>
    </w:rPr>
  </w:style>
  <w:style w:type="paragraph" w:customStyle="1" w:styleId="NumberedList3">
    <w:name w:val="Numbered List 3"/>
    <w:basedOn w:val="Normal"/>
    <w:rsid w:val="009F40F1"/>
    <w:pPr>
      <w:numPr>
        <w:ilvl w:val="2"/>
        <w:numId w:val="13"/>
      </w:numPr>
      <w:suppressAutoHyphens/>
      <w:spacing w:before="0" w:after="100" w:line="260" w:lineRule="atLeast"/>
      <w:jc w:val="left"/>
    </w:pPr>
    <w:rPr>
      <w:rFonts w:ascii="Calibri" w:hAnsi="Calibri"/>
      <w:color w:val="0E374B" w:themeColor="accent1"/>
    </w:rPr>
  </w:style>
  <w:style w:type="numbering" w:customStyle="1" w:styleId="Numberedlist">
    <w:name w:val="Numbered list"/>
    <w:uiPriority w:val="99"/>
    <w:rsid w:val="009F40F1"/>
    <w:pPr>
      <w:numPr>
        <w:numId w:val="12"/>
      </w:numPr>
    </w:pPr>
  </w:style>
  <w:style w:type="paragraph" w:customStyle="1" w:styleId="NumberedList2">
    <w:name w:val="Numbered List 2"/>
    <w:basedOn w:val="NumberedList1"/>
    <w:rsid w:val="009F40F1"/>
    <w:pPr>
      <w:numPr>
        <w:ilvl w:val="1"/>
      </w:numPr>
    </w:pPr>
  </w:style>
  <w:style w:type="paragraph" w:customStyle="1" w:styleId="AlphaList1">
    <w:name w:val="Alpha List 1"/>
    <w:basedOn w:val="Normal"/>
    <w:rsid w:val="009F40F1"/>
    <w:pPr>
      <w:numPr>
        <w:numId w:val="15"/>
      </w:numPr>
      <w:suppressAutoHyphens/>
      <w:spacing w:before="100" w:after="100" w:line="260" w:lineRule="atLeast"/>
      <w:jc w:val="left"/>
    </w:pPr>
    <w:rPr>
      <w:rFonts w:ascii="Calibri" w:hAnsi="Calibri"/>
      <w:color w:val="0E374B" w:themeColor="accent1"/>
      <w:lang w:val="en-US"/>
    </w:rPr>
  </w:style>
  <w:style w:type="paragraph" w:customStyle="1" w:styleId="AlphaList2">
    <w:name w:val="Alpha List 2"/>
    <w:basedOn w:val="Normal"/>
    <w:rsid w:val="009F40F1"/>
    <w:pPr>
      <w:numPr>
        <w:ilvl w:val="1"/>
        <w:numId w:val="15"/>
      </w:numPr>
      <w:suppressAutoHyphens/>
      <w:spacing w:before="100" w:after="100" w:line="260" w:lineRule="atLeast"/>
      <w:jc w:val="left"/>
    </w:pPr>
    <w:rPr>
      <w:rFonts w:ascii="Calibri" w:hAnsi="Calibri"/>
      <w:lang w:val="en-US"/>
    </w:rPr>
  </w:style>
  <w:style w:type="paragraph" w:customStyle="1" w:styleId="AlphaList3">
    <w:name w:val="Alpha List 3"/>
    <w:basedOn w:val="Normal"/>
    <w:rsid w:val="009F40F1"/>
    <w:pPr>
      <w:numPr>
        <w:ilvl w:val="2"/>
        <w:numId w:val="15"/>
      </w:numPr>
      <w:suppressAutoHyphens/>
      <w:spacing w:before="100" w:after="100" w:line="260" w:lineRule="atLeast"/>
      <w:jc w:val="left"/>
    </w:pPr>
    <w:rPr>
      <w:rFonts w:ascii="Calibri" w:hAnsi="Calibri"/>
      <w:color w:val="0E374B" w:themeColor="accent1"/>
      <w:lang w:val="en-US"/>
    </w:rPr>
  </w:style>
  <w:style w:type="numbering" w:customStyle="1" w:styleId="AlphaLists">
    <w:name w:val="Alpha Lists"/>
    <w:uiPriority w:val="99"/>
    <w:rsid w:val="009F40F1"/>
    <w:pPr>
      <w:numPr>
        <w:numId w:val="17"/>
      </w:numPr>
    </w:pPr>
  </w:style>
  <w:style w:type="paragraph" w:customStyle="1" w:styleId="Tabletext">
    <w:name w:val="Table text"/>
    <w:basedOn w:val="Normal"/>
    <w:link w:val="TabletextChar"/>
    <w:qFormat/>
    <w:rsid w:val="009F40F1"/>
    <w:pPr>
      <w:suppressAutoHyphens/>
      <w:spacing w:before="0" w:line="240" w:lineRule="auto"/>
      <w:jc w:val="center"/>
    </w:pPr>
    <w:rPr>
      <w:rFonts w:ascii="Calibri" w:hAnsi="Calibri"/>
      <w:color w:val="0E374B" w:themeColor="accent1"/>
      <w:sz w:val="20"/>
      <w:szCs w:val="20"/>
      <w:lang w:eastAsia="en-AU"/>
    </w:rPr>
  </w:style>
  <w:style w:type="paragraph" w:customStyle="1" w:styleId="Tableheader">
    <w:name w:val="Table header"/>
    <w:basedOn w:val="Normal"/>
    <w:link w:val="TableheaderChar"/>
    <w:qFormat/>
    <w:rsid w:val="009F40F1"/>
    <w:pPr>
      <w:suppressAutoHyphens/>
      <w:spacing w:before="0" w:line="240" w:lineRule="auto"/>
      <w:jc w:val="center"/>
    </w:pPr>
    <w:rPr>
      <w:rFonts w:ascii="Calibri" w:hAnsi="Calibri"/>
      <w:b/>
      <w:bCs/>
      <w:color w:val="0E374B" w:themeColor="accent1"/>
      <w:sz w:val="20"/>
      <w:szCs w:val="20"/>
      <w:lang w:eastAsia="en-AU"/>
    </w:rPr>
  </w:style>
  <w:style w:type="character" w:customStyle="1" w:styleId="TabletextChar">
    <w:name w:val="Table text Char"/>
    <w:basedOn w:val="DefaultParagraphFont"/>
    <w:link w:val="Tabletext"/>
    <w:rsid w:val="009F40F1"/>
    <w:rPr>
      <w:rFonts w:ascii="Calibri" w:hAnsi="Calibri"/>
      <w:color w:val="0E374B" w:themeColor="accent1"/>
      <w:sz w:val="20"/>
      <w:szCs w:val="20"/>
      <w:lang w:eastAsia="en-AU"/>
    </w:rPr>
  </w:style>
  <w:style w:type="character" w:customStyle="1" w:styleId="TableheaderChar">
    <w:name w:val="Table header Char"/>
    <w:basedOn w:val="DefaultParagraphFont"/>
    <w:link w:val="Tableheader"/>
    <w:rsid w:val="009F40F1"/>
    <w:rPr>
      <w:rFonts w:ascii="Calibri" w:hAnsi="Calibri"/>
      <w:b/>
      <w:bCs/>
      <w:color w:val="0E374B" w:themeColor="accent1"/>
      <w:sz w:val="20"/>
      <w:szCs w:val="20"/>
      <w:lang w:eastAsia="en-AU"/>
    </w:rPr>
  </w:style>
  <w:style w:type="paragraph" w:styleId="Revision">
    <w:name w:val="Revision"/>
    <w:hidden/>
    <w:uiPriority w:val="99"/>
    <w:semiHidden/>
    <w:rsid w:val="00E22D30"/>
    <w:pPr>
      <w:spacing w:after="0" w:line="240" w:lineRule="auto"/>
    </w:pPr>
  </w:style>
  <w:style w:type="character" w:styleId="CommentReference">
    <w:name w:val="annotation reference"/>
    <w:basedOn w:val="DefaultParagraphFont"/>
    <w:uiPriority w:val="99"/>
    <w:semiHidden/>
    <w:unhideWhenUsed/>
    <w:rsid w:val="00F0552F"/>
    <w:rPr>
      <w:sz w:val="16"/>
      <w:szCs w:val="16"/>
    </w:rPr>
  </w:style>
  <w:style w:type="paragraph" w:styleId="CommentText">
    <w:name w:val="annotation text"/>
    <w:basedOn w:val="Normal"/>
    <w:link w:val="CommentTextChar"/>
    <w:uiPriority w:val="99"/>
    <w:unhideWhenUsed/>
    <w:rsid w:val="00F0552F"/>
    <w:pPr>
      <w:spacing w:line="240" w:lineRule="auto"/>
    </w:pPr>
    <w:rPr>
      <w:sz w:val="20"/>
      <w:szCs w:val="20"/>
    </w:rPr>
  </w:style>
  <w:style w:type="character" w:customStyle="1" w:styleId="CommentTextChar">
    <w:name w:val="Comment Text Char"/>
    <w:basedOn w:val="DefaultParagraphFont"/>
    <w:link w:val="CommentText"/>
    <w:uiPriority w:val="99"/>
    <w:rsid w:val="00F0552F"/>
    <w:rPr>
      <w:sz w:val="20"/>
      <w:szCs w:val="20"/>
    </w:rPr>
  </w:style>
  <w:style w:type="paragraph" w:styleId="CommentSubject">
    <w:name w:val="annotation subject"/>
    <w:basedOn w:val="CommentText"/>
    <w:next w:val="CommentText"/>
    <w:link w:val="CommentSubjectChar"/>
    <w:uiPriority w:val="99"/>
    <w:semiHidden/>
    <w:unhideWhenUsed/>
    <w:rsid w:val="00F0552F"/>
    <w:rPr>
      <w:b/>
      <w:bCs/>
    </w:rPr>
  </w:style>
  <w:style w:type="character" w:customStyle="1" w:styleId="CommentSubjectChar">
    <w:name w:val="Comment Subject Char"/>
    <w:basedOn w:val="CommentTextChar"/>
    <w:link w:val="CommentSubject"/>
    <w:uiPriority w:val="99"/>
    <w:semiHidden/>
    <w:rsid w:val="00F0552F"/>
    <w:rPr>
      <w:b/>
      <w:bCs/>
      <w:sz w:val="20"/>
      <w:szCs w:val="20"/>
    </w:rPr>
  </w:style>
  <w:style w:type="character" w:styleId="FollowedHyperlink">
    <w:name w:val="FollowedHyperlink"/>
    <w:basedOn w:val="DefaultParagraphFont"/>
    <w:uiPriority w:val="99"/>
    <w:semiHidden/>
    <w:unhideWhenUsed/>
    <w:rsid w:val="005D55A2"/>
    <w:rPr>
      <w:color w:val="F26524" w:themeColor="followedHyperlink"/>
      <w:u w:val="single"/>
    </w:rPr>
  </w:style>
  <w:style w:type="paragraph" w:styleId="TOC4">
    <w:name w:val="toc 4"/>
    <w:basedOn w:val="Normal"/>
    <w:next w:val="Normal"/>
    <w:autoRedefine/>
    <w:uiPriority w:val="39"/>
    <w:unhideWhenUsed/>
    <w:rsid w:val="00622B56"/>
    <w:pPr>
      <w:spacing w:before="0"/>
      <w:ind w:left="660"/>
      <w:jc w:val="left"/>
    </w:pPr>
    <w:rPr>
      <w:rFonts w:cstheme="minorHAnsi"/>
      <w:sz w:val="20"/>
      <w:szCs w:val="20"/>
    </w:rPr>
  </w:style>
  <w:style w:type="paragraph" w:styleId="TOC5">
    <w:name w:val="toc 5"/>
    <w:basedOn w:val="Normal"/>
    <w:next w:val="Normal"/>
    <w:autoRedefine/>
    <w:uiPriority w:val="39"/>
    <w:unhideWhenUsed/>
    <w:rsid w:val="00622B56"/>
    <w:pPr>
      <w:spacing w:before="0"/>
      <w:ind w:left="880"/>
      <w:jc w:val="left"/>
    </w:pPr>
    <w:rPr>
      <w:rFonts w:cstheme="minorHAnsi"/>
      <w:sz w:val="20"/>
      <w:szCs w:val="20"/>
    </w:rPr>
  </w:style>
  <w:style w:type="paragraph" w:styleId="TOC6">
    <w:name w:val="toc 6"/>
    <w:basedOn w:val="Normal"/>
    <w:next w:val="Normal"/>
    <w:autoRedefine/>
    <w:uiPriority w:val="39"/>
    <w:unhideWhenUsed/>
    <w:rsid w:val="00622B56"/>
    <w:pPr>
      <w:spacing w:before="0"/>
      <w:ind w:left="1100"/>
      <w:jc w:val="left"/>
    </w:pPr>
    <w:rPr>
      <w:rFonts w:cstheme="minorHAnsi"/>
      <w:sz w:val="20"/>
      <w:szCs w:val="20"/>
    </w:rPr>
  </w:style>
  <w:style w:type="paragraph" w:styleId="TOC7">
    <w:name w:val="toc 7"/>
    <w:basedOn w:val="Normal"/>
    <w:next w:val="Normal"/>
    <w:autoRedefine/>
    <w:uiPriority w:val="39"/>
    <w:unhideWhenUsed/>
    <w:rsid w:val="00622B56"/>
    <w:pPr>
      <w:spacing w:before="0"/>
      <w:ind w:left="1320"/>
      <w:jc w:val="left"/>
    </w:pPr>
    <w:rPr>
      <w:rFonts w:cstheme="minorHAnsi"/>
      <w:sz w:val="20"/>
      <w:szCs w:val="20"/>
    </w:rPr>
  </w:style>
  <w:style w:type="paragraph" w:styleId="TOC8">
    <w:name w:val="toc 8"/>
    <w:basedOn w:val="Normal"/>
    <w:next w:val="Normal"/>
    <w:autoRedefine/>
    <w:uiPriority w:val="39"/>
    <w:unhideWhenUsed/>
    <w:rsid w:val="00622B56"/>
    <w:pPr>
      <w:spacing w:before="0"/>
      <w:ind w:left="1540"/>
      <w:jc w:val="left"/>
    </w:pPr>
    <w:rPr>
      <w:rFonts w:cstheme="minorHAnsi"/>
      <w:sz w:val="20"/>
      <w:szCs w:val="20"/>
    </w:rPr>
  </w:style>
  <w:style w:type="paragraph" w:styleId="TOC9">
    <w:name w:val="toc 9"/>
    <w:basedOn w:val="Normal"/>
    <w:next w:val="Normal"/>
    <w:autoRedefine/>
    <w:uiPriority w:val="39"/>
    <w:unhideWhenUsed/>
    <w:rsid w:val="00622B56"/>
    <w:pPr>
      <w:spacing w:before="0"/>
      <w:ind w:left="1760"/>
      <w:jc w:val="left"/>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libcat.dppnet/firstRMS/fullRecord.jsp?recnoListAttr=recnoList&amp;recno=278548"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image" Target="media/image5.png" Id="rId21" /><Relationship Type="http://schemas.openxmlformats.org/officeDocument/2006/relationships/footnotes" Target="footnotes.xml" Id="rId7" /><Relationship Type="http://schemas.openxmlformats.org/officeDocument/2006/relationships/hyperlink" Target="http://libcat.dppnet/firstRMS/fullRecord.jsp?recnoListAttr=recnoList&amp;recno=278548"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4.png" Id="rId20" /><Relationship Type="http://schemas.openxmlformats.org/officeDocument/2006/relationships/webSettings" Target="webSettings.xml" Id="rId6" /><Relationship Type="http://schemas.openxmlformats.org/officeDocument/2006/relationships/hyperlink" Target="http://libcat.dppnet/firstRMS/fullRecord.jsp?recnoListAttr=recnoList&amp;recno=248689"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hyperlink" Target="http://libcat.dppnet/firstRMS/fullRecord.jsp?recnoListAttr=recnoList&amp;recno=248689" TargetMode="External" Id="rId10" /><Relationship Type="http://schemas.openxmlformats.org/officeDocument/2006/relationships/image" Target="media/image3.pn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customXml" Target="/customXML/item4.xml" Id="Rd1a0db05b28d46da" /></Relationships>
</file>

<file path=word/theme/theme1.xml><?xml version="1.0" encoding="utf-8"?>
<a:theme xmlns:a="http://schemas.openxmlformats.org/drawingml/2006/main" name="Office Theme">
  <a:themeElements>
    <a:clrScheme name="CDPP">
      <a:dk1>
        <a:srgbClr val="010101"/>
      </a:dk1>
      <a:lt1>
        <a:srgbClr val="FFFFFF"/>
      </a:lt1>
      <a:dk2>
        <a:srgbClr val="445669"/>
      </a:dk2>
      <a:lt2>
        <a:srgbClr val="FFFFFF"/>
      </a:lt2>
      <a:accent1>
        <a:srgbClr val="0E374B"/>
      </a:accent1>
      <a:accent2>
        <a:srgbClr val="188A95"/>
      </a:accent2>
      <a:accent3>
        <a:srgbClr val="00B2DD"/>
      </a:accent3>
      <a:accent4>
        <a:srgbClr val="FFCB1B"/>
      </a:accent4>
      <a:accent5>
        <a:srgbClr val="F26524"/>
      </a:accent5>
      <a:accent6>
        <a:srgbClr val="808285"/>
      </a:accent6>
      <a:hlink>
        <a:srgbClr val="1E78A3"/>
      </a:hlink>
      <a:folHlink>
        <a:srgbClr val="F265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9FF3CDC43304B6DBBB78A53EC61BE3D" version="1.0.0">
  <systemFields>
    <field name="Objective-Id">
      <value order="0">A1381178</value>
    </field>
    <field name="Objective-Title">
      <value order="0">NLD: Unfitness to be tried/to plead - Published October 2023</value>
    </field>
    <field name="Objective-Description">
      <value order="0"/>
    </field>
    <field name="Objective-CreationStamp">
      <value order="0">2023-10-10T02:46:29Z</value>
    </field>
    <field name="Objective-IsApproved">
      <value order="0">false</value>
    </field>
    <field name="Objective-IsPublished">
      <value order="0">false</value>
    </field>
    <field name="Objective-DatePublished">
      <value order="0"/>
    </field>
    <field name="Objective-ModificationStamp">
      <value order="0">2023-10-11T06:07:21Z</value>
    </field>
    <field name="Objective-Owner">
      <value order="0">Emmett Jon</value>
    </field>
    <field name="Objective-Path">
      <value order="0">CDPP Global Folder:Commonwealth Solicitor:LCP:Legal and Policy:National Policies:National Legal Directions (NLDs):Unfitness to be tried and to plead</value>
    </field>
    <field name="Objective-Parent">
      <value order="0">Unfitness to be tried and to plead</value>
    </field>
    <field name="Objective-State">
      <value order="0">Being Drafted</value>
    </field>
    <field name="Objective-VersionId">
      <value order="0">vA1458744</value>
    </field>
    <field name="Objective-Version">
      <value order="0">1.7</value>
    </field>
    <field name="Objective-VersionNumber">
      <value order="0">11</value>
    </field>
    <field name="Objective-VersionComment">
      <value order="0"/>
    </field>
    <field name="Objective-FileNumber">
      <value order="0">2022/01072</value>
    </field>
    <field name="Objective-Classification">
      <value order="0">OFFICIAL</value>
    </field>
    <field name="Objective-Caveats">
      <value order="0"/>
    </field>
  </systemFields>
  <catalogues>
    <catalogue name="Corporate Document Type Catalogue" type="type" ori="id:cA1">
      <field name="Objective-Document Category">
        <value order="0"/>
      </field>
      <field name="Objective-Jurisdiction/Office">
        <value order="0"/>
      </field>
      <field name="Objective-Reference">
        <value order="0"/>
      </field>
      <field name="Objective-Next Review Date">
        <value order="0"/>
      </field>
      <field name="Objective-Review Status">
        <value order="0"/>
      </field>
      <field name="Objective-Spons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9FF3CDC43304B6DBBB78A53EC61BE3D"/>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04D904B-0EF4-4026-B360-C40D94A6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Jade</dc:creator>
  <cp:keywords/>
  <dc:description/>
  <cp:lastModifiedBy>Dagelet Jacqueline</cp:lastModifiedBy>
  <cp:revision>25</cp:revision>
  <cp:lastPrinted>2023-10-11T04:18:00Z</cp:lastPrinted>
  <dcterms:created xsi:type="dcterms:W3CDTF">2023-10-10T02:46:00Z</dcterms:created>
  <dcterms:modified xsi:type="dcterms:W3CDTF">2023-10-11T05:58:00Z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A1381178</vt:lpwstr>
  </property>
  <property fmtid="{D5CDD505-2E9C-101B-9397-08002B2CF9AE}" pid="4" name="Objective-Title">
    <vt:lpwstr>NLD: Unfitness to be tried/to plead - Published October 2023</vt:lpwstr>
  </property>
  <property fmtid="{D5CDD505-2E9C-101B-9397-08002B2CF9AE}" pid="5" name="Objective-Description">
    <vt:lpwstr/>
  </property>
  <property fmtid="{D5CDD505-2E9C-101B-9397-08002B2CF9AE}" pid="6" name="Objective-CreationStamp">
    <vt:filetime>2023-10-10T02:46:29Z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2023-10-11T06:07:21Z</vt:filetime>
  </property>
  <property fmtid="{D5CDD505-2E9C-101B-9397-08002B2CF9AE}" pid="11" name="Objective-Owner">
    <vt:lpwstr>Emmett Jon</vt:lpwstr>
  </property>
  <property fmtid="{D5CDD505-2E9C-101B-9397-08002B2CF9AE}" pid="12" name="Objective-Path">
    <vt:lpwstr>CDPP Global Folder:Commonwealth Solicitor:LCP:Legal and Policy:National Policies:National Legal Directions (NLDs):Unfitness to be tried and to plead</vt:lpwstr>
  </property>
  <property fmtid="{D5CDD505-2E9C-101B-9397-08002B2CF9AE}" pid="13" name="Objective-Parent">
    <vt:lpwstr>Unfitness to be tried and to plead</vt:lpwstr>
  </property>
  <property fmtid="{D5CDD505-2E9C-101B-9397-08002B2CF9AE}" pid="14" name="Objective-State">
    <vt:lpwstr>Being Drafted</vt:lpwstr>
  </property>
  <property fmtid="{D5CDD505-2E9C-101B-9397-08002B2CF9AE}" pid="15" name="Objective-VersionId">
    <vt:lpwstr>vA1458744</vt:lpwstr>
  </property>
  <property fmtid="{D5CDD505-2E9C-101B-9397-08002B2CF9AE}" pid="16" name="Objective-Version">
    <vt:lpwstr>1.7</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2022/01072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Category">
    <vt:lpwstr/>
  </property>
  <property fmtid="{D5CDD505-2E9C-101B-9397-08002B2CF9AE}" pid="23" name="Objective-Jurisdiction/Office">
    <vt:lpwstr/>
  </property>
  <property fmtid="{D5CDD505-2E9C-101B-9397-08002B2CF9AE}" pid="24" name="Objective-Reference">
    <vt:lpwstr/>
  </property>
  <property fmtid="{D5CDD505-2E9C-101B-9397-08002B2CF9AE}" pid="25" name="Objective-Next Review Date">
    <vt:lpwstr/>
  </property>
  <property fmtid="{D5CDD505-2E9C-101B-9397-08002B2CF9AE}" pid="26" name="Objective-Review Status">
    <vt:lpwstr/>
  </property>
  <property fmtid="{D5CDD505-2E9C-101B-9397-08002B2CF9AE}" pid="27" name="Objective-Sponsor">
    <vt:lpwstr/>
  </property>
</Properties>
</file>