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53B51" w14:textId="77777777" w:rsidR="000E798C" w:rsidRDefault="000E798C" w:rsidP="00D42058">
      <w:pPr>
        <w:pStyle w:val="Title"/>
        <w:spacing w:before="10000" w:after="240"/>
        <w:jc w:val="right"/>
        <w:rPr>
          <w:sz w:val="48"/>
          <w:szCs w:val="48"/>
        </w:rPr>
      </w:pPr>
    </w:p>
    <w:p w14:paraId="495A7967" w14:textId="77777777" w:rsidR="000E798C" w:rsidRDefault="000E798C" w:rsidP="00D42058">
      <w:pPr>
        <w:pStyle w:val="Title"/>
        <w:spacing w:before="10000" w:after="240"/>
        <w:jc w:val="right"/>
        <w:rPr>
          <w:sz w:val="48"/>
          <w:szCs w:val="48"/>
        </w:rPr>
      </w:pPr>
    </w:p>
    <w:p w14:paraId="5417FE8D" w14:textId="77777777" w:rsidR="000E798C" w:rsidRDefault="000E798C" w:rsidP="00D42058">
      <w:pPr>
        <w:pStyle w:val="Title"/>
        <w:spacing w:before="10000" w:after="240"/>
        <w:jc w:val="right"/>
        <w:rPr>
          <w:sz w:val="48"/>
          <w:szCs w:val="48"/>
        </w:rPr>
      </w:pPr>
    </w:p>
    <w:p w14:paraId="05C8EFF6" w14:textId="2EF04F1E" w:rsidR="00D42058" w:rsidRPr="000E798C" w:rsidRDefault="000E798C" w:rsidP="00D42058">
      <w:pPr>
        <w:pStyle w:val="Title"/>
        <w:spacing w:before="10000" w:after="240"/>
        <w:jc w:val="right"/>
        <w:rPr>
          <w:sz w:val="48"/>
          <w:szCs w:val="48"/>
        </w:rPr>
      </w:pPr>
      <w:r w:rsidRPr="000E798C">
        <w:rPr>
          <w:sz w:val="48"/>
          <w:szCs w:val="48"/>
        </w:rPr>
        <w:t>Office of the Director of Public Prosecutions (</w:t>
      </w:r>
      <w:proofErr w:type="spellStart"/>
      <w:r w:rsidRPr="000E798C">
        <w:rPr>
          <w:sz w:val="48"/>
          <w:szCs w:val="48"/>
        </w:rPr>
        <w:t>Cth</w:t>
      </w:r>
      <w:proofErr w:type="spellEnd"/>
      <w:r w:rsidRPr="000E798C">
        <w:rPr>
          <w:sz w:val="48"/>
          <w:szCs w:val="48"/>
        </w:rPr>
        <w:t>)</w:t>
      </w:r>
    </w:p>
    <w:p w14:paraId="30DA67FE" w14:textId="0482EF09" w:rsidR="00D42058" w:rsidRPr="001D3455" w:rsidRDefault="000E798C" w:rsidP="001D3455">
      <w:pPr>
        <w:pStyle w:val="Subtitle"/>
      </w:pPr>
      <w:r>
        <w:t>Emissions Reduction Plan</w:t>
      </w:r>
      <w:r w:rsidR="00DB0C94">
        <w:t xml:space="preserve"> 2024</w:t>
      </w:r>
    </w:p>
    <w:p w14:paraId="626CA37F" w14:textId="6AD4997D" w:rsidR="00D42058" w:rsidRDefault="00D42058">
      <w:pPr>
        <w:rPr>
          <w:rFonts w:eastAsiaTheme="minorEastAsia"/>
          <w:color w:val="14506D" w:themeColor="accent1" w:themeTint="E6"/>
          <w:spacing w:val="15"/>
          <w:sz w:val="36"/>
        </w:rPr>
      </w:pPr>
      <w:r>
        <w:br w:type="page"/>
      </w:r>
    </w:p>
    <w:sdt>
      <w:sdtPr>
        <w:rPr>
          <w:rFonts w:asciiTheme="minorHAnsi" w:eastAsiaTheme="minorEastAsia" w:hAnsiTheme="minorHAnsi" w:cstheme="minorBidi"/>
          <w:color w:val="auto"/>
          <w:sz w:val="22"/>
          <w:szCs w:val="22"/>
          <w:lang w:val="en-AU"/>
        </w:rPr>
        <w:id w:val="614099464"/>
        <w:docPartObj>
          <w:docPartGallery w:val="Table of Contents"/>
          <w:docPartUnique/>
        </w:docPartObj>
      </w:sdtPr>
      <w:sdtEndPr>
        <w:rPr>
          <w:b/>
        </w:rPr>
      </w:sdtEndPr>
      <w:sdtContent>
        <w:p w14:paraId="063600EE" w14:textId="0F538620" w:rsidR="00722479" w:rsidRPr="00037261" w:rsidRDefault="00722479" w:rsidP="00AC290E">
          <w:pPr>
            <w:pStyle w:val="TOCHeading"/>
            <w:rPr>
              <w:rStyle w:val="Heading1Char"/>
              <w:color w:val="0E374B" w:themeColor="accent1"/>
            </w:rPr>
          </w:pPr>
          <w:r w:rsidRPr="00037261">
            <w:rPr>
              <w:rStyle w:val="Heading1Char"/>
              <w:color w:val="0E374B" w:themeColor="accent1"/>
            </w:rPr>
            <w:t>Contents</w:t>
          </w:r>
        </w:p>
        <w:p w14:paraId="082AFCBE" w14:textId="1A47F29B" w:rsidR="007737D8" w:rsidRDefault="00722479">
          <w:pPr>
            <w:pStyle w:val="TOC1"/>
            <w:tabs>
              <w:tab w:val="right" w:leader="dot" w:pos="9628"/>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75908669" w:history="1">
            <w:r w:rsidR="007737D8" w:rsidRPr="001358D4">
              <w:rPr>
                <w:rStyle w:val="Hyperlink"/>
                <w:noProof/>
              </w:rPr>
              <w:t>Acknowledgement of Country</w:t>
            </w:r>
            <w:r w:rsidR="007737D8">
              <w:rPr>
                <w:noProof/>
                <w:webHidden/>
              </w:rPr>
              <w:tab/>
            </w:r>
            <w:r w:rsidR="007737D8">
              <w:rPr>
                <w:noProof/>
                <w:webHidden/>
              </w:rPr>
              <w:fldChar w:fldCharType="begin"/>
            </w:r>
            <w:r w:rsidR="007737D8">
              <w:rPr>
                <w:noProof/>
                <w:webHidden/>
              </w:rPr>
              <w:instrText xml:space="preserve"> PAGEREF _Toc175908669 \h </w:instrText>
            </w:r>
            <w:r w:rsidR="007737D8">
              <w:rPr>
                <w:noProof/>
                <w:webHidden/>
              </w:rPr>
            </w:r>
            <w:r w:rsidR="007737D8">
              <w:rPr>
                <w:noProof/>
                <w:webHidden/>
              </w:rPr>
              <w:fldChar w:fldCharType="separate"/>
            </w:r>
            <w:r w:rsidR="005C10BC">
              <w:rPr>
                <w:noProof/>
                <w:webHidden/>
              </w:rPr>
              <w:t>3</w:t>
            </w:r>
            <w:r w:rsidR="007737D8">
              <w:rPr>
                <w:noProof/>
                <w:webHidden/>
              </w:rPr>
              <w:fldChar w:fldCharType="end"/>
            </w:r>
          </w:hyperlink>
        </w:p>
        <w:p w14:paraId="742EA76A" w14:textId="54D52E78" w:rsidR="007737D8" w:rsidRDefault="007737D8">
          <w:pPr>
            <w:pStyle w:val="TOC1"/>
            <w:tabs>
              <w:tab w:val="right" w:leader="dot" w:pos="9628"/>
            </w:tabs>
            <w:rPr>
              <w:rFonts w:eastAsiaTheme="minorEastAsia"/>
              <w:noProof/>
              <w:kern w:val="2"/>
              <w:lang w:eastAsia="en-AU"/>
              <w14:ligatures w14:val="standardContextual"/>
            </w:rPr>
          </w:pPr>
          <w:hyperlink w:anchor="_Toc175908670" w:history="1">
            <w:r w:rsidRPr="001358D4">
              <w:rPr>
                <w:rStyle w:val="Hyperlink"/>
                <w:noProof/>
              </w:rPr>
              <w:t>Accountable Authority Sign Off</w:t>
            </w:r>
            <w:r>
              <w:rPr>
                <w:noProof/>
                <w:webHidden/>
              </w:rPr>
              <w:tab/>
            </w:r>
            <w:r>
              <w:rPr>
                <w:noProof/>
                <w:webHidden/>
              </w:rPr>
              <w:fldChar w:fldCharType="begin"/>
            </w:r>
            <w:r>
              <w:rPr>
                <w:noProof/>
                <w:webHidden/>
              </w:rPr>
              <w:instrText xml:space="preserve"> PAGEREF _Toc175908670 \h </w:instrText>
            </w:r>
            <w:r>
              <w:rPr>
                <w:noProof/>
                <w:webHidden/>
              </w:rPr>
            </w:r>
            <w:r>
              <w:rPr>
                <w:noProof/>
                <w:webHidden/>
              </w:rPr>
              <w:fldChar w:fldCharType="separate"/>
            </w:r>
            <w:r w:rsidR="005C10BC">
              <w:rPr>
                <w:noProof/>
                <w:webHidden/>
              </w:rPr>
              <w:t>4</w:t>
            </w:r>
            <w:r>
              <w:rPr>
                <w:noProof/>
                <w:webHidden/>
              </w:rPr>
              <w:fldChar w:fldCharType="end"/>
            </w:r>
          </w:hyperlink>
        </w:p>
        <w:p w14:paraId="3CD975A9" w14:textId="5CE3895A" w:rsidR="007737D8" w:rsidRDefault="007737D8">
          <w:pPr>
            <w:pStyle w:val="TOC1"/>
            <w:tabs>
              <w:tab w:val="right" w:leader="dot" w:pos="9628"/>
            </w:tabs>
            <w:rPr>
              <w:rFonts w:eastAsiaTheme="minorEastAsia"/>
              <w:noProof/>
              <w:kern w:val="2"/>
              <w:lang w:eastAsia="en-AU"/>
              <w14:ligatures w14:val="standardContextual"/>
            </w:rPr>
          </w:pPr>
          <w:hyperlink w:anchor="_Toc175908671" w:history="1">
            <w:r w:rsidRPr="001358D4">
              <w:rPr>
                <w:rStyle w:val="Hyperlink"/>
                <w:noProof/>
              </w:rPr>
              <w:t>Emissions Reduction Plan</w:t>
            </w:r>
            <w:r>
              <w:rPr>
                <w:noProof/>
                <w:webHidden/>
              </w:rPr>
              <w:tab/>
            </w:r>
            <w:r>
              <w:rPr>
                <w:noProof/>
                <w:webHidden/>
              </w:rPr>
              <w:fldChar w:fldCharType="begin"/>
            </w:r>
            <w:r>
              <w:rPr>
                <w:noProof/>
                <w:webHidden/>
              </w:rPr>
              <w:instrText xml:space="preserve"> PAGEREF _Toc175908671 \h </w:instrText>
            </w:r>
            <w:r>
              <w:rPr>
                <w:noProof/>
                <w:webHidden/>
              </w:rPr>
            </w:r>
            <w:r>
              <w:rPr>
                <w:noProof/>
                <w:webHidden/>
              </w:rPr>
              <w:fldChar w:fldCharType="separate"/>
            </w:r>
            <w:r w:rsidR="005C10BC">
              <w:rPr>
                <w:noProof/>
                <w:webHidden/>
              </w:rPr>
              <w:t>5</w:t>
            </w:r>
            <w:r>
              <w:rPr>
                <w:noProof/>
                <w:webHidden/>
              </w:rPr>
              <w:fldChar w:fldCharType="end"/>
            </w:r>
          </w:hyperlink>
        </w:p>
        <w:p w14:paraId="7D839A73" w14:textId="008C8E10" w:rsidR="007737D8" w:rsidRDefault="007737D8">
          <w:pPr>
            <w:pStyle w:val="TOC2"/>
            <w:tabs>
              <w:tab w:val="right" w:leader="dot" w:pos="9628"/>
            </w:tabs>
            <w:rPr>
              <w:rFonts w:eastAsiaTheme="minorEastAsia"/>
              <w:noProof/>
              <w:kern w:val="2"/>
              <w:lang w:eastAsia="en-AU"/>
              <w14:ligatures w14:val="standardContextual"/>
            </w:rPr>
          </w:pPr>
          <w:hyperlink w:anchor="_Toc175908672" w:history="1">
            <w:r w:rsidRPr="001358D4">
              <w:rPr>
                <w:rStyle w:val="Hyperlink"/>
                <w:noProof/>
              </w:rPr>
              <w:t>Purpose</w:t>
            </w:r>
            <w:r>
              <w:rPr>
                <w:noProof/>
                <w:webHidden/>
              </w:rPr>
              <w:tab/>
            </w:r>
            <w:r>
              <w:rPr>
                <w:noProof/>
                <w:webHidden/>
              </w:rPr>
              <w:fldChar w:fldCharType="begin"/>
            </w:r>
            <w:r>
              <w:rPr>
                <w:noProof/>
                <w:webHidden/>
              </w:rPr>
              <w:instrText xml:space="preserve"> PAGEREF _Toc175908672 \h </w:instrText>
            </w:r>
            <w:r>
              <w:rPr>
                <w:noProof/>
                <w:webHidden/>
              </w:rPr>
            </w:r>
            <w:r>
              <w:rPr>
                <w:noProof/>
                <w:webHidden/>
              </w:rPr>
              <w:fldChar w:fldCharType="separate"/>
            </w:r>
            <w:r w:rsidR="005C10BC">
              <w:rPr>
                <w:noProof/>
                <w:webHidden/>
              </w:rPr>
              <w:t>5</w:t>
            </w:r>
            <w:r>
              <w:rPr>
                <w:noProof/>
                <w:webHidden/>
              </w:rPr>
              <w:fldChar w:fldCharType="end"/>
            </w:r>
          </w:hyperlink>
        </w:p>
        <w:p w14:paraId="3CC9279C" w14:textId="52E8B6A4" w:rsidR="007737D8" w:rsidRDefault="007737D8">
          <w:pPr>
            <w:pStyle w:val="TOC2"/>
            <w:tabs>
              <w:tab w:val="right" w:leader="dot" w:pos="9628"/>
            </w:tabs>
            <w:rPr>
              <w:rFonts w:eastAsiaTheme="minorEastAsia"/>
              <w:noProof/>
              <w:kern w:val="2"/>
              <w:lang w:eastAsia="en-AU"/>
              <w14:ligatures w14:val="standardContextual"/>
            </w:rPr>
          </w:pPr>
          <w:hyperlink w:anchor="_Toc175908673" w:history="1">
            <w:r w:rsidRPr="001358D4">
              <w:rPr>
                <w:rStyle w:val="Hyperlink"/>
                <w:noProof/>
              </w:rPr>
              <w:t>Net zero greenhouse emissions</w:t>
            </w:r>
            <w:r>
              <w:rPr>
                <w:noProof/>
                <w:webHidden/>
              </w:rPr>
              <w:tab/>
            </w:r>
            <w:r>
              <w:rPr>
                <w:noProof/>
                <w:webHidden/>
              </w:rPr>
              <w:fldChar w:fldCharType="begin"/>
            </w:r>
            <w:r>
              <w:rPr>
                <w:noProof/>
                <w:webHidden/>
              </w:rPr>
              <w:instrText xml:space="preserve"> PAGEREF _Toc175908673 \h </w:instrText>
            </w:r>
            <w:r>
              <w:rPr>
                <w:noProof/>
                <w:webHidden/>
              </w:rPr>
            </w:r>
            <w:r>
              <w:rPr>
                <w:noProof/>
                <w:webHidden/>
              </w:rPr>
              <w:fldChar w:fldCharType="separate"/>
            </w:r>
            <w:r w:rsidR="005C10BC">
              <w:rPr>
                <w:noProof/>
                <w:webHidden/>
              </w:rPr>
              <w:t>5</w:t>
            </w:r>
            <w:r>
              <w:rPr>
                <w:noProof/>
                <w:webHidden/>
              </w:rPr>
              <w:fldChar w:fldCharType="end"/>
            </w:r>
          </w:hyperlink>
        </w:p>
        <w:p w14:paraId="0C017300" w14:textId="38279BF0" w:rsidR="007737D8" w:rsidRDefault="007737D8">
          <w:pPr>
            <w:pStyle w:val="TOC2"/>
            <w:tabs>
              <w:tab w:val="right" w:leader="dot" w:pos="9628"/>
            </w:tabs>
            <w:rPr>
              <w:rFonts w:eastAsiaTheme="minorEastAsia"/>
              <w:noProof/>
              <w:kern w:val="2"/>
              <w:lang w:eastAsia="en-AU"/>
              <w14:ligatures w14:val="standardContextual"/>
            </w:rPr>
          </w:pPr>
          <w:hyperlink w:anchor="_Toc175908674" w:history="1">
            <w:r w:rsidRPr="001358D4">
              <w:rPr>
                <w:rStyle w:val="Hyperlink"/>
                <w:noProof/>
              </w:rPr>
              <w:t>Governance and reporting</w:t>
            </w:r>
            <w:r>
              <w:rPr>
                <w:noProof/>
                <w:webHidden/>
              </w:rPr>
              <w:tab/>
            </w:r>
            <w:r>
              <w:rPr>
                <w:noProof/>
                <w:webHidden/>
              </w:rPr>
              <w:fldChar w:fldCharType="begin"/>
            </w:r>
            <w:r>
              <w:rPr>
                <w:noProof/>
                <w:webHidden/>
              </w:rPr>
              <w:instrText xml:space="preserve"> PAGEREF _Toc175908674 \h </w:instrText>
            </w:r>
            <w:r>
              <w:rPr>
                <w:noProof/>
                <w:webHidden/>
              </w:rPr>
            </w:r>
            <w:r>
              <w:rPr>
                <w:noProof/>
                <w:webHidden/>
              </w:rPr>
              <w:fldChar w:fldCharType="separate"/>
            </w:r>
            <w:r w:rsidR="005C10BC">
              <w:rPr>
                <w:noProof/>
                <w:webHidden/>
              </w:rPr>
              <w:t>5</w:t>
            </w:r>
            <w:r>
              <w:rPr>
                <w:noProof/>
                <w:webHidden/>
              </w:rPr>
              <w:fldChar w:fldCharType="end"/>
            </w:r>
          </w:hyperlink>
        </w:p>
        <w:p w14:paraId="2EA58CFC" w14:textId="32E1CF07" w:rsidR="007737D8" w:rsidRDefault="007737D8">
          <w:pPr>
            <w:pStyle w:val="TOC2"/>
            <w:tabs>
              <w:tab w:val="right" w:leader="dot" w:pos="9628"/>
            </w:tabs>
            <w:rPr>
              <w:rFonts w:eastAsiaTheme="minorEastAsia"/>
              <w:noProof/>
              <w:kern w:val="2"/>
              <w:lang w:eastAsia="en-AU"/>
              <w14:ligatures w14:val="standardContextual"/>
            </w:rPr>
          </w:pPr>
          <w:hyperlink w:anchor="_Toc175908675" w:history="1">
            <w:r w:rsidRPr="001358D4">
              <w:rPr>
                <w:rStyle w:val="Hyperlink"/>
                <w:noProof/>
              </w:rPr>
              <w:t>CDPP operational context</w:t>
            </w:r>
            <w:r>
              <w:rPr>
                <w:noProof/>
                <w:webHidden/>
              </w:rPr>
              <w:tab/>
            </w:r>
            <w:r>
              <w:rPr>
                <w:noProof/>
                <w:webHidden/>
              </w:rPr>
              <w:fldChar w:fldCharType="begin"/>
            </w:r>
            <w:r>
              <w:rPr>
                <w:noProof/>
                <w:webHidden/>
              </w:rPr>
              <w:instrText xml:space="preserve"> PAGEREF _Toc175908675 \h </w:instrText>
            </w:r>
            <w:r>
              <w:rPr>
                <w:noProof/>
                <w:webHidden/>
              </w:rPr>
            </w:r>
            <w:r>
              <w:rPr>
                <w:noProof/>
                <w:webHidden/>
              </w:rPr>
              <w:fldChar w:fldCharType="separate"/>
            </w:r>
            <w:r w:rsidR="005C10BC">
              <w:rPr>
                <w:noProof/>
                <w:webHidden/>
              </w:rPr>
              <w:t>5</w:t>
            </w:r>
            <w:r>
              <w:rPr>
                <w:noProof/>
                <w:webHidden/>
              </w:rPr>
              <w:fldChar w:fldCharType="end"/>
            </w:r>
          </w:hyperlink>
        </w:p>
        <w:p w14:paraId="201E6C0D" w14:textId="19259961" w:rsidR="007737D8" w:rsidRDefault="007737D8">
          <w:pPr>
            <w:pStyle w:val="TOC2"/>
            <w:tabs>
              <w:tab w:val="right" w:leader="dot" w:pos="9628"/>
            </w:tabs>
            <w:rPr>
              <w:rFonts w:eastAsiaTheme="minorEastAsia"/>
              <w:noProof/>
              <w:kern w:val="2"/>
              <w:lang w:eastAsia="en-AU"/>
              <w14:ligatures w14:val="standardContextual"/>
            </w:rPr>
          </w:pPr>
          <w:hyperlink w:anchor="_Toc175908676" w:history="1">
            <w:r w:rsidRPr="001358D4">
              <w:rPr>
                <w:rStyle w:val="Hyperlink"/>
                <w:noProof/>
              </w:rPr>
              <w:t>Highlights</w:t>
            </w:r>
            <w:r>
              <w:rPr>
                <w:noProof/>
                <w:webHidden/>
              </w:rPr>
              <w:tab/>
            </w:r>
            <w:r>
              <w:rPr>
                <w:noProof/>
                <w:webHidden/>
              </w:rPr>
              <w:fldChar w:fldCharType="begin"/>
            </w:r>
            <w:r>
              <w:rPr>
                <w:noProof/>
                <w:webHidden/>
              </w:rPr>
              <w:instrText xml:space="preserve"> PAGEREF _Toc175908676 \h </w:instrText>
            </w:r>
            <w:r>
              <w:rPr>
                <w:noProof/>
                <w:webHidden/>
              </w:rPr>
            </w:r>
            <w:r>
              <w:rPr>
                <w:noProof/>
                <w:webHidden/>
              </w:rPr>
              <w:fldChar w:fldCharType="separate"/>
            </w:r>
            <w:r w:rsidR="005C10BC">
              <w:rPr>
                <w:noProof/>
                <w:webHidden/>
              </w:rPr>
              <w:t>5</w:t>
            </w:r>
            <w:r>
              <w:rPr>
                <w:noProof/>
                <w:webHidden/>
              </w:rPr>
              <w:fldChar w:fldCharType="end"/>
            </w:r>
          </w:hyperlink>
        </w:p>
        <w:p w14:paraId="4A23F3A8" w14:textId="29B0C5A6" w:rsidR="007737D8" w:rsidRDefault="007737D8">
          <w:pPr>
            <w:pStyle w:val="TOC2"/>
            <w:tabs>
              <w:tab w:val="right" w:leader="dot" w:pos="9628"/>
            </w:tabs>
            <w:rPr>
              <w:rFonts w:eastAsiaTheme="minorEastAsia"/>
              <w:noProof/>
              <w:kern w:val="2"/>
              <w:lang w:eastAsia="en-AU"/>
              <w14:ligatures w14:val="standardContextual"/>
            </w:rPr>
          </w:pPr>
          <w:hyperlink w:anchor="_Toc175908677" w:history="1">
            <w:r w:rsidRPr="001358D4">
              <w:rPr>
                <w:rStyle w:val="Hyperlink"/>
                <w:noProof/>
              </w:rPr>
              <w:t>Baseline emissions</w:t>
            </w:r>
            <w:r>
              <w:rPr>
                <w:noProof/>
                <w:webHidden/>
              </w:rPr>
              <w:tab/>
            </w:r>
            <w:r>
              <w:rPr>
                <w:noProof/>
                <w:webHidden/>
              </w:rPr>
              <w:fldChar w:fldCharType="begin"/>
            </w:r>
            <w:r>
              <w:rPr>
                <w:noProof/>
                <w:webHidden/>
              </w:rPr>
              <w:instrText xml:space="preserve"> PAGEREF _Toc175908677 \h </w:instrText>
            </w:r>
            <w:r>
              <w:rPr>
                <w:noProof/>
                <w:webHidden/>
              </w:rPr>
            </w:r>
            <w:r>
              <w:rPr>
                <w:noProof/>
                <w:webHidden/>
              </w:rPr>
              <w:fldChar w:fldCharType="separate"/>
            </w:r>
            <w:r w:rsidR="005C10BC">
              <w:rPr>
                <w:noProof/>
                <w:webHidden/>
              </w:rPr>
              <w:t>6</w:t>
            </w:r>
            <w:r>
              <w:rPr>
                <w:noProof/>
                <w:webHidden/>
              </w:rPr>
              <w:fldChar w:fldCharType="end"/>
            </w:r>
          </w:hyperlink>
        </w:p>
        <w:p w14:paraId="60475211" w14:textId="48AD26FA" w:rsidR="007737D8" w:rsidRDefault="007737D8">
          <w:pPr>
            <w:pStyle w:val="TOC2"/>
            <w:tabs>
              <w:tab w:val="right" w:leader="dot" w:pos="9628"/>
            </w:tabs>
            <w:rPr>
              <w:rFonts w:eastAsiaTheme="minorEastAsia"/>
              <w:noProof/>
              <w:kern w:val="2"/>
              <w:lang w:eastAsia="en-AU"/>
              <w14:ligatures w14:val="standardContextual"/>
            </w:rPr>
          </w:pPr>
          <w:hyperlink w:anchor="_Toc175908678" w:history="1">
            <w:r w:rsidRPr="001358D4">
              <w:rPr>
                <w:rStyle w:val="Hyperlink"/>
                <w:noProof/>
              </w:rPr>
              <w:t>Engagement</w:t>
            </w:r>
            <w:r>
              <w:rPr>
                <w:noProof/>
                <w:webHidden/>
              </w:rPr>
              <w:tab/>
            </w:r>
            <w:r>
              <w:rPr>
                <w:noProof/>
                <w:webHidden/>
              </w:rPr>
              <w:fldChar w:fldCharType="begin"/>
            </w:r>
            <w:r>
              <w:rPr>
                <w:noProof/>
                <w:webHidden/>
              </w:rPr>
              <w:instrText xml:space="preserve"> PAGEREF _Toc175908678 \h </w:instrText>
            </w:r>
            <w:r>
              <w:rPr>
                <w:noProof/>
                <w:webHidden/>
              </w:rPr>
            </w:r>
            <w:r>
              <w:rPr>
                <w:noProof/>
                <w:webHidden/>
              </w:rPr>
              <w:fldChar w:fldCharType="separate"/>
            </w:r>
            <w:r w:rsidR="005C10BC">
              <w:rPr>
                <w:noProof/>
                <w:webHidden/>
              </w:rPr>
              <w:t>6</w:t>
            </w:r>
            <w:r>
              <w:rPr>
                <w:noProof/>
                <w:webHidden/>
              </w:rPr>
              <w:fldChar w:fldCharType="end"/>
            </w:r>
          </w:hyperlink>
        </w:p>
        <w:p w14:paraId="2B242E71" w14:textId="33650A08" w:rsidR="007737D8" w:rsidRDefault="007737D8">
          <w:pPr>
            <w:pStyle w:val="TOC2"/>
            <w:tabs>
              <w:tab w:val="right" w:leader="dot" w:pos="9628"/>
            </w:tabs>
            <w:rPr>
              <w:rFonts w:eastAsiaTheme="minorEastAsia"/>
              <w:noProof/>
              <w:kern w:val="2"/>
              <w:lang w:eastAsia="en-AU"/>
              <w14:ligatures w14:val="standardContextual"/>
            </w:rPr>
          </w:pPr>
          <w:hyperlink w:anchor="_Toc175908679" w:history="1">
            <w:r w:rsidRPr="001358D4">
              <w:rPr>
                <w:rStyle w:val="Hyperlink"/>
                <w:noProof/>
              </w:rPr>
              <w:t>Emissions reduction targets</w:t>
            </w:r>
            <w:r>
              <w:rPr>
                <w:noProof/>
                <w:webHidden/>
              </w:rPr>
              <w:tab/>
            </w:r>
            <w:r>
              <w:rPr>
                <w:noProof/>
                <w:webHidden/>
              </w:rPr>
              <w:fldChar w:fldCharType="begin"/>
            </w:r>
            <w:r>
              <w:rPr>
                <w:noProof/>
                <w:webHidden/>
              </w:rPr>
              <w:instrText xml:space="preserve"> PAGEREF _Toc175908679 \h </w:instrText>
            </w:r>
            <w:r>
              <w:rPr>
                <w:noProof/>
                <w:webHidden/>
              </w:rPr>
            </w:r>
            <w:r>
              <w:rPr>
                <w:noProof/>
                <w:webHidden/>
              </w:rPr>
              <w:fldChar w:fldCharType="separate"/>
            </w:r>
            <w:r w:rsidR="005C10BC">
              <w:rPr>
                <w:noProof/>
                <w:webHidden/>
              </w:rPr>
              <w:t>6</w:t>
            </w:r>
            <w:r>
              <w:rPr>
                <w:noProof/>
                <w:webHidden/>
              </w:rPr>
              <w:fldChar w:fldCharType="end"/>
            </w:r>
          </w:hyperlink>
        </w:p>
        <w:p w14:paraId="26167DD8" w14:textId="6E805E85" w:rsidR="007737D8" w:rsidRDefault="007737D8">
          <w:pPr>
            <w:pStyle w:val="TOC2"/>
            <w:tabs>
              <w:tab w:val="right" w:leader="dot" w:pos="9628"/>
            </w:tabs>
            <w:rPr>
              <w:rFonts w:eastAsiaTheme="minorEastAsia"/>
              <w:noProof/>
              <w:kern w:val="2"/>
              <w:lang w:eastAsia="en-AU"/>
              <w14:ligatures w14:val="standardContextual"/>
            </w:rPr>
          </w:pPr>
          <w:hyperlink w:anchor="_Toc175908680" w:history="1">
            <w:r w:rsidRPr="001358D4">
              <w:rPr>
                <w:rStyle w:val="Hyperlink"/>
                <w:noProof/>
              </w:rPr>
              <w:t>Priorities and actions</w:t>
            </w:r>
            <w:r>
              <w:rPr>
                <w:noProof/>
                <w:webHidden/>
              </w:rPr>
              <w:tab/>
            </w:r>
            <w:r>
              <w:rPr>
                <w:noProof/>
                <w:webHidden/>
              </w:rPr>
              <w:fldChar w:fldCharType="begin"/>
            </w:r>
            <w:r>
              <w:rPr>
                <w:noProof/>
                <w:webHidden/>
              </w:rPr>
              <w:instrText xml:space="preserve"> PAGEREF _Toc175908680 \h </w:instrText>
            </w:r>
            <w:r>
              <w:rPr>
                <w:noProof/>
                <w:webHidden/>
              </w:rPr>
            </w:r>
            <w:r>
              <w:rPr>
                <w:noProof/>
                <w:webHidden/>
              </w:rPr>
              <w:fldChar w:fldCharType="separate"/>
            </w:r>
            <w:r w:rsidR="005C10BC">
              <w:rPr>
                <w:noProof/>
                <w:webHidden/>
              </w:rPr>
              <w:t>6</w:t>
            </w:r>
            <w:r>
              <w:rPr>
                <w:noProof/>
                <w:webHidden/>
              </w:rPr>
              <w:fldChar w:fldCharType="end"/>
            </w:r>
          </w:hyperlink>
        </w:p>
        <w:p w14:paraId="47E6844F" w14:textId="03058ACB" w:rsidR="007737D8" w:rsidRDefault="007737D8">
          <w:pPr>
            <w:pStyle w:val="TOC1"/>
            <w:tabs>
              <w:tab w:val="right" w:leader="dot" w:pos="9628"/>
            </w:tabs>
            <w:rPr>
              <w:rFonts w:eastAsiaTheme="minorEastAsia"/>
              <w:noProof/>
              <w:kern w:val="2"/>
              <w:lang w:eastAsia="en-AU"/>
              <w14:ligatures w14:val="standardContextual"/>
            </w:rPr>
          </w:pPr>
          <w:hyperlink w:anchor="_Toc175908681" w:history="1">
            <w:r w:rsidRPr="001358D4">
              <w:rPr>
                <w:rStyle w:val="Hyperlink"/>
                <w:noProof/>
              </w:rPr>
              <w:t>Implementation Plan</w:t>
            </w:r>
            <w:r>
              <w:rPr>
                <w:noProof/>
                <w:webHidden/>
              </w:rPr>
              <w:tab/>
            </w:r>
            <w:r>
              <w:rPr>
                <w:noProof/>
                <w:webHidden/>
              </w:rPr>
              <w:fldChar w:fldCharType="begin"/>
            </w:r>
            <w:r>
              <w:rPr>
                <w:noProof/>
                <w:webHidden/>
              </w:rPr>
              <w:instrText xml:space="preserve"> PAGEREF _Toc175908681 \h </w:instrText>
            </w:r>
            <w:r>
              <w:rPr>
                <w:noProof/>
                <w:webHidden/>
              </w:rPr>
            </w:r>
            <w:r>
              <w:rPr>
                <w:noProof/>
                <w:webHidden/>
              </w:rPr>
              <w:fldChar w:fldCharType="separate"/>
            </w:r>
            <w:r w:rsidR="005C10BC">
              <w:rPr>
                <w:noProof/>
                <w:webHidden/>
              </w:rPr>
              <w:t>7</w:t>
            </w:r>
            <w:r>
              <w:rPr>
                <w:noProof/>
                <w:webHidden/>
              </w:rPr>
              <w:fldChar w:fldCharType="end"/>
            </w:r>
          </w:hyperlink>
        </w:p>
        <w:p w14:paraId="716EB76B" w14:textId="4B2DA98C" w:rsidR="007737D8" w:rsidRDefault="007737D8">
          <w:pPr>
            <w:pStyle w:val="TOC2"/>
            <w:tabs>
              <w:tab w:val="right" w:leader="dot" w:pos="9628"/>
            </w:tabs>
            <w:rPr>
              <w:rFonts w:eastAsiaTheme="minorEastAsia"/>
              <w:noProof/>
              <w:kern w:val="2"/>
              <w:lang w:eastAsia="en-AU"/>
              <w14:ligatures w14:val="standardContextual"/>
            </w:rPr>
          </w:pPr>
          <w:hyperlink w:anchor="_Toc175908682" w:history="1">
            <w:r w:rsidRPr="001358D4">
              <w:rPr>
                <w:rStyle w:val="Hyperlink"/>
                <w:noProof/>
              </w:rPr>
              <w:t>Net Zero Buildings</w:t>
            </w:r>
            <w:r>
              <w:rPr>
                <w:noProof/>
                <w:webHidden/>
              </w:rPr>
              <w:tab/>
            </w:r>
            <w:r>
              <w:rPr>
                <w:noProof/>
                <w:webHidden/>
              </w:rPr>
              <w:fldChar w:fldCharType="begin"/>
            </w:r>
            <w:r>
              <w:rPr>
                <w:noProof/>
                <w:webHidden/>
              </w:rPr>
              <w:instrText xml:space="preserve"> PAGEREF _Toc175908682 \h </w:instrText>
            </w:r>
            <w:r>
              <w:rPr>
                <w:noProof/>
                <w:webHidden/>
              </w:rPr>
            </w:r>
            <w:r>
              <w:rPr>
                <w:noProof/>
                <w:webHidden/>
              </w:rPr>
              <w:fldChar w:fldCharType="separate"/>
            </w:r>
            <w:r w:rsidR="005C10BC">
              <w:rPr>
                <w:noProof/>
                <w:webHidden/>
              </w:rPr>
              <w:t>7</w:t>
            </w:r>
            <w:r>
              <w:rPr>
                <w:noProof/>
                <w:webHidden/>
              </w:rPr>
              <w:fldChar w:fldCharType="end"/>
            </w:r>
          </w:hyperlink>
        </w:p>
        <w:p w14:paraId="3F7F7337" w14:textId="4F9EFCA7" w:rsidR="007737D8" w:rsidRDefault="007737D8">
          <w:pPr>
            <w:pStyle w:val="TOC2"/>
            <w:tabs>
              <w:tab w:val="right" w:leader="dot" w:pos="9628"/>
            </w:tabs>
            <w:rPr>
              <w:rFonts w:eastAsiaTheme="minorEastAsia"/>
              <w:noProof/>
              <w:kern w:val="2"/>
              <w:lang w:eastAsia="en-AU"/>
              <w14:ligatures w14:val="standardContextual"/>
            </w:rPr>
          </w:pPr>
          <w:hyperlink w:anchor="_Toc175908683" w:history="1">
            <w:r w:rsidRPr="001358D4">
              <w:rPr>
                <w:rStyle w:val="Hyperlink"/>
                <w:noProof/>
              </w:rPr>
              <w:t>Net Zero Energy</w:t>
            </w:r>
            <w:r>
              <w:rPr>
                <w:noProof/>
                <w:webHidden/>
              </w:rPr>
              <w:tab/>
            </w:r>
            <w:r>
              <w:rPr>
                <w:noProof/>
                <w:webHidden/>
              </w:rPr>
              <w:fldChar w:fldCharType="begin"/>
            </w:r>
            <w:r>
              <w:rPr>
                <w:noProof/>
                <w:webHidden/>
              </w:rPr>
              <w:instrText xml:space="preserve"> PAGEREF _Toc175908683 \h </w:instrText>
            </w:r>
            <w:r>
              <w:rPr>
                <w:noProof/>
                <w:webHidden/>
              </w:rPr>
            </w:r>
            <w:r>
              <w:rPr>
                <w:noProof/>
                <w:webHidden/>
              </w:rPr>
              <w:fldChar w:fldCharType="separate"/>
            </w:r>
            <w:r w:rsidR="005C10BC">
              <w:rPr>
                <w:noProof/>
                <w:webHidden/>
              </w:rPr>
              <w:t>8</w:t>
            </w:r>
            <w:r>
              <w:rPr>
                <w:noProof/>
                <w:webHidden/>
              </w:rPr>
              <w:fldChar w:fldCharType="end"/>
            </w:r>
          </w:hyperlink>
        </w:p>
        <w:p w14:paraId="1773DBD3" w14:textId="7F6FC3FB" w:rsidR="007737D8" w:rsidRDefault="007737D8">
          <w:pPr>
            <w:pStyle w:val="TOC2"/>
            <w:tabs>
              <w:tab w:val="right" w:leader="dot" w:pos="9628"/>
            </w:tabs>
            <w:rPr>
              <w:rFonts w:eastAsiaTheme="minorEastAsia"/>
              <w:noProof/>
              <w:kern w:val="2"/>
              <w:lang w:eastAsia="en-AU"/>
              <w14:ligatures w14:val="standardContextual"/>
            </w:rPr>
          </w:pPr>
          <w:hyperlink w:anchor="_Toc175908684" w:history="1">
            <w:r w:rsidRPr="001358D4">
              <w:rPr>
                <w:rStyle w:val="Hyperlink"/>
                <w:noProof/>
              </w:rPr>
              <w:t>Net Zero Fleet</w:t>
            </w:r>
            <w:r>
              <w:rPr>
                <w:noProof/>
                <w:webHidden/>
              </w:rPr>
              <w:tab/>
            </w:r>
            <w:r>
              <w:rPr>
                <w:noProof/>
                <w:webHidden/>
              </w:rPr>
              <w:fldChar w:fldCharType="begin"/>
            </w:r>
            <w:r>
              <w:rPr>
                <w:noProof/>
                <w:webHidden/>
              </w:rPr>
              <w:instrText xml:space="preserve"> PAGEREF _Toc175908684 \h </w:instrText>
            </w:r>
            <w:r>
              <w:rPr>
                <w:noProof/>
                <w:webHidden/>
              </w:rPr>
            </w:r>
            <w:r>
              <w:rPr>
                <w:noProof/>
                <w:webHidden/>
              </w:rPr>
              <w:fldChar w:fldCharType="separate"/>
            </w:r>
            <w:r w:rsidR="005C10BC">
              <w:rPr>
                <w:noProof/>
                <w:webHidden/>
              </w:rPr>
              <w:t>9</w:t>
            </w:r>
            <w:r>
              <w:rPr>
                <w:noProof/>
                <w:webHidden/>
              </w:rPr>
              <w:fldChar w:fldCharType="end"/>
            </w:r>
          </w:hyperlink>
        </w:p>
        <w:p w14:paraId="52C4F522" w14:textId="0DF9D1EC" w:rsidR="007737D8" w:rsidRDefault="007737D8">
          <w:pPr>
            <w:pStyle w:val="TOC2"/>
            <w:tabs>
              <w:tab w:val="right" w:leader="dot" w:pos="9628"/>
            </w:tabs>
            <w:rPr>
              <w:rFonts w:eastAsiaTheme="minorEastAsia"/>
              <w:noProof/>
              <w:kern w:val="2"/>
              <w:lang w:eastAsia="en-AU"/>
              <w14:ligatures w14:val="standardContextual"/>
            </w:rPr>
          </w:pPr>
          <w:hyperlink w:anchor="_Toc175908685" w:history="1">
            <w:r w:rsidRPr="001358D4">
              <w:rPr>
                <w:rStyle w:val="Hyperlink"/>
                <w:noProof/>
              </w:rPr>
              <w:t>Net Zero Procurement</w:t>
            </w:r>
            <w:r>
              <w:rPr>
                <w:noProof/>
                <w:webHidden/>
              </w:rPr>
              <w:tab/>
            </w:r>
            <w:r>
              <w:rPr>
                <w:noProof/>
                <w:webHidden/>
              </w:rPr>
              <w:fldChar w:fldCharType="begin"/>
            </w:r>
            <w:r>
              <w:rPr>
                <w:noProof/>
                <w:webHidden/>
              </w:rPr>
              <w:instrText xml:space="preserve"> PAGEREF _Toc175908685 \h </w:instrText>
            </w:r>
            <w:r>
              <w:rPr>
                <w:noProof/>
                <w:webHidden/>
              </w:rPr>
            </w:r>
            <w:r>
              <w:rPr>
                <w:noProof/>
                <w:webHidden/>
              </w:rPr>
              <w:fldChar w:fldCharType="separate"/>
            </w:r>
            <w:r w:rsidR="005C10BC">
              <w:rPr>
                <w:noProof/>
                <w:webHidden/>
              </w:rPr>
              <w:t>9</w:t>
            </w:r>
            <w:r>
              <w:rPr>
                <w:noProof/>
                <w:webHidden/>
              </w:rPr>
              <w:fldChar w:fldCharType="end"/>
            </w:r>
          </w:hyperlink>
        </w:p>
        <w:p w14:paraId="68FCFE21" w14:textId="7766198F" w:rsidR="007737D8" w:rsidRDefault="007737D8">
          <w:pPr>
            <w:pStyle w:val="TOC2"/>
            <w:tabs>
              <w:tab w:val="right" w:leader="dot" w:pos="9628"/>
            </w:tabs>
            <w:rPr>
              <w:rFonts w:eastAsiaTheme="minorEastAsia"/>
              <w:noProof/>
              <w:kern w:val="2"/>
              <w:lang w:eastAsia="en-AU"/>
              <w14:ligatures w14:val="standardContextual"/>
            </w:rPr>
          </w:pPr>
          <w:hyperlink w:anchor="_Toc175908686" w:history="1">
            <w:r w:rsidRPr="001358D4">
              <w:rPr>
                <w:rStyle w:val="Hyperlink"/>
                <w:noProof/>
              </w:rPr>
              <w:t>Net Zero Travel</w:t>
            </w:r>
            <w:r>
              <w:rPr>
                <w:noProof/>
                <w:webHidden/>
              </w:rPr>
              <w:tab/>
            </w:r>
            <w:r>
              <w:rPr>
                <w:noProof/>
                <w:webHidden/>
              </w:rPr>
              <w:fldChar w:fldCharType="begin"/>
            </w:r>
            <w:r>
              <w:rPr>
                <w:noProof/>
                <w:webHidden/>
              </w:rPr>
              <w:instrText xml:space="preserve"> PAGEREF _Toc175908686 \h </w:instrText>
            </w:r>
            <w:r>
              <w:rPr>
                <w:noProof/>
                <w:webHidden/>
              </w:rPr>
            </w:r>
            <w:r>
              <w:rPr>
                <w:noProof/>
                <w:webHidden/>
              </w:rPr>
              <w:fldChar w:fldCharType="separate"/>
            </w:r>
            <w:r w:rsidR="005C10BC">
              <w:rPr>
                <w:noProof/>
                <w:webHidden/>
              </w:rPr>
              <w:t>9</w:t>
            </w:r>
            <w:r>
              <w:rPr>
                <w:noProof/>
                <w:webHidden/>
              </w:rPr>
              <w:fldChar w:fldCharType="end"/>
            </w:r>
          </w:hyperlink>
        </w:p>
        <w:p w14:paraId="4CAE1D97" w14:textId="593104CB" w:rsidR="007737D8" w:rsidRDefault="007737D8">
          <w:pPr>
            <w:pStyle w:val="TOC2"/>
            <w:tabs>
              <w:tab w:val="right" w:leader="dot" w:pos="9628"/>
            </w:tabs>
            <w:rPr>
              <w:rFonts w:eastAsiaTheme="minorEastAsia"/>
              <w:noProof/>
              <w:kern w:val="2"/>
              <w:lang w:eastAsia="en-AU"/>
              <w14:ligatures w14:val="standardContextual"/>
            </w:rPr>
          </w:pPr>
          <w:hyperlink w:anchor="_Toc175908687" w:history="1">
            <w:r w:rsidRPr="001358D4">
              <w:rPr>
                <w:rStyle w:val="Hyperlink"/>
                <w:noProof/>
              </w:rPr>
              <w:t>Net Zero ICT</w:t>
            </w:r>
            <w:r>
              <w:rPr>
                <w:noProof/>
                <w:webHidden/>
              </w:rPr>
              <w:tab/>
            </w:r>
            <w:r>
              <w:rPr>
                <w:noProof/>
                <w:webHidden/>
              </w:rPr>
              <w:fldChar w:fldCharType="begin"/>
            </w:r>
            <w:r>
              <w:rPr>
                <w:noProof/>
                <w:webHidden/>
              </w:rPr>
              <w:instrText xml:space="preserve"> PAGEREF _Toc175908687 \h </w:instrText>
            </w:r>
            <w:r>
              <w:rPr>
                <w:noProof/>
                <w:webHidden/>
              </w:rPr>
            </w:r>
            <w:r>
              <w:rPr>
                <w:noProof/>
                <w:webHidden/>
              </w:rPr>
              <w:fldChar w:fldCharType="separate"/>
            </w:r>
            <w:r w:rsidR="005C10BC">
              <w:rPr>
                <w:noProof/>
                <w:webHidden/>
              </w:rPr>
              <w:t>10</w:t>
            </w:r>
            <w:r>
              <w:rPr>
                <w:noProof/>
                <w:webHidden/>
              </w:rPr>
              <w:fldChar w:fldCharType="end"/>
            </w:r>
          </w:hyperlink>
        </w:p>
        <w:p w14:paraId="4EB20F62" w14:textId="1BCB472C" w:rsidR="007737D8" w:rsidRDefault="007737D8">
          <w:pPr>
            <w:pStyle w:val="TOC2"/>
            <w:tabs>
              <w:tab w:val="right" w:leader="dot" w:pos="9628"/>
            </w:tabs>
            <w:rPr>
              <w:rFonts w:eastAsiaTheme="minorEastAsia"/>
              <w:noProof/>
              <w:kern w:val="2"/>
              <w:lang w:eastAsia="en-AU"/>
              <w14:ligatures w14:val="standardContextual"/>
            </w:rPr>
          </w:pPr>
          <w:hyperlink w:anchor="_Toc175908688" w:history="1">
            <w:r w:rsidRPr="001358D4">
              <w:rPr>
                <w:rStyle w:val="Hyperlink"/>
                <w:noProof/>
              </w:rPr>
              <w:t>People, Culture and Capability</w:t>
            </w:r>
            <w:r>
              <w:rPr>
                <w:noProof/>
                <w:webHidden/>
              </w:rPr>
              <w:tab/>
            </w:r>
            <w:r>
              <w:rPr>
                <w:noProof/>
                <w:webHidden/>
              </w:rPr>
              <w:fldChar w:fldCharType="begin"/>
            </w:r>
            <w:r>
              <w:rPr>
                <w:noProof/>
                <w:webHidden/>
              </w:rPr>
              <w:instrText xml:space="preserve"> PAGEREF _Toc175908688 \h </w:instrText>
            </w:r>
            <w:r>
              <w:rPr>
                <w:noProof/>
                <w:webHidden/>
              </w:rPr>
            </w:r>
            <w:r>
              <w:rPr>
                <w:noProof/>
                <w:webHidden/>
              </w:rPr>
              <w:fldChar w:fldCharType="separate"/>
            </w:r>
            <w:r w:rsidR="005C10BC">
              <w:rPr>
                <w:noProof/>
                <w:webHidden/>
              </w:rPr>
              <w:t>10</w:t>
            </w:r>
            <w:r>
              <w:rPr>
                <w:noProof/>
                <w:webHidden/>
              </w:rPr>
              <w:fldChar w:fldCharType="end"/>
            </w:r>
          </w:hyperlink>
        </w:p>
        <w:p w14:paraId="2005012A" w14:textId="2F90044A" w:rsidR="007737D8" w:rsidRDefault="007737D8">
          <w:pPr>
            <w:pStyle w:val="TOC1"/>
            <w:tabs>
              <w:tab w:val="right" w:leader="dot" w:pos="9628"/>
            </w:tabs>
            <w:rPr>
              <w:rFonts w:eastAsiaTheme="minorEastAsia"/>
              <w:noProof/>
              <w:kern w:val="2"/>
              <w:lang w:eastAsia="en-AU"/>
              <w14:ligatures w14:val="standardContextual"/>
            </w:rPr>
          </w:pPr>
          <w:hyperlink w:anchor="_Toc175908689" w:history="1">
            <w:r w:rsidRPr="001358D4">
              <w:rPr>
                <w:rStyle w:val="Hyperlink"/>
                <w:noProof/>
              </w:rPr>
              <w:t>Definitions</w:t>
            </w:r>
            <w:r>
              <w:rPr>
                <w:noProof/>
                <w:webHidden/>
              </w:rPr>
              <w:tab/>
            </w:r>
            <w:r>
              <w:rPr>
                <w:noProof/>
                <w:webHidden/>
              </w:rPr>
              <w:fldChar w:fldCharType="begin"/>
            </w:r>
            <w:r>
              <w:rPr>
                <w:noProof/>
                <w:webHidden/>
              </w:rPr>
              <w:instrText xml:space="preserve"> PAGEREF _Toc175908689 \h </w:instrText>
            </w:r>
            <w:r>
              <w:rPr>
                <w:noProof/>
                <w:webHidden/>
              </w:rPr>
            </w:r>
            <w:r>
              <w:rPr>
                <w:noProof/>
                <w:webHidden/>
              </w:rPr>
              <w:fldChar w:fldCharType="separate"/>
            </w:r>
            <w:r w:rsidR="005C10BC">
              <w:rPr>
                <w:noProof/>
                <w:webHidden/>
              </w:rPr>
              <w:t>11</w:t>
            </w:r>
            <w:r>
              <w:rPr>
                <w:noProof/>
                <w:webHidden/>
              </w:rPr>
              <w:fldChar w:fldCharType="end"/>
            </w:r>
          </w:hyperlink>
        </w:p>
        <w:p w14:paraId="60CE65A7" w14:textId="7B0A6492" w:rsidR="00722479" w:rsidRDefault="00722479">
          <w:r>
            <w:rPr>
              <w:b/>
              <w:bCs/>
              <w:noProof/>
            </w:rPr>
            <w:fldChar w:fldCharType="end"/>
          </w:r>
        </w:p>
      </w:sdtContent>
    </w:sdt>
    <w:p w14:paraId="44BEA378" w14:textId="45B6CD15" w:rsidR="000E798C" w:rsidRDefault="00D811B6" w:rsidP="00D811B6">
      <w:pPr>
        <w:tabs>
          <w:tab w:val="left" w:pos="1633"/>
        </w:tabs>
        <w:spacing w:before="0" w:after="200" w:line="276" w:lineRule="auto"/>
      </w:pPr>
      <w:r>
        <w:tab/>
      </w:r>
    </w:p>
    <w:p w14:paraId="77D346BE" w14:textId="77777777" w:rsidR="000E798C" w:rsidRDefault="000E798C">
      <w:pPr>
        <w:spacing w:before="0" w:after="200" w:line="276" w:lineRule="auto"/>
      </w:pPr>
    </w:p>
    <w:p w14:paraId="1E164065" w14:textId="77777777" w:rsidR="00DB0C94" w:rsidRDefault="00DB0C94">
      <w:pPr>
        <w:spacing w:before="0" w:after="200" w:line="276" w:lineRule="auto"/>
      </w:pPr>
    </w:p>
    <w:p w14:paraId="29B763A4" w14:textId="77777777" w:rsidR="0081481D" w:rsidRDefault="0081481D">
      <w:pPr>
        <w:spacing w:before="0" w:after="200" w:line="276" w:lineRule="auto"/>
      </w:pPr>
    </w:p>
    <w:p w14:paraId="78720D8A" w14:textId="4DE816EF" w:rsidR="00FB7FED" w:rsidRDefault="00FB7FED">
      <w:pPr>
        <w:spacing w:before="0" w:after="200" w:line="276" w:lineRule="auto"/>
      </w:pPr>
      <w:r>
        <w:br w:type="page"/>
      </w:r>
    </w:p>
    <w:p w14:paraId="0FDDB009" w14:textId="4A218052" w:rsidR="00FB7FED" w:rsidRPr="00AC290E" w:rsidRDefault="00FB7FED" w:rsidP="00AC290E">
      <w:pPr>
        <w:pStyle w:val="Heading1"/>
      </w:pPr>
      <w:bookmarkStart w:id="0" w:name="_Toc175908669"/>
      <w:r w:rsidRPr="00AC290E">
        <w:lastRenderedPageBreak/>
        <w:t>Acknowledgement of Country</w:t>
      </w:r>
      <w:bookmarkEnd w:id="0"/>
      <w:r w:rsidRPr="00AC290E">
        <w:t xml:space="preserve"> </w:t>
      </w:r>
    </w:p>
    <w:p w14:paraId="5BC49D33" w14:textId="782D4D7B" w:rsidR="0081481D" w:rsidRDefault="00FB7FED">
      <w:pPr>
        <w:spacing w:before="0" w:after="200" w:line="276" w:lineRule="auto"/>
      </w:pPr>
      <w:r>
        <w:t>The Office of the Director of Pub</w:t>
      </w:r>
      <w:r w:rsidR="005B1E1E">
        <w:t>l</w:t>
      </w:r>
      <w:r>
        <w:t>ic Prosecutions (</w:t>
      </w:r>
      <w:proofErr w:type="spellStart"/>
      <w:r>
        <w:t>Cth</w:t>
      </w:r>
      <w:proofErr w:type="spellEnd"/>
      <w:r>
        <w:t xml:space="preserve">) acknowledges First Nations Australians as the traditional owners and custodians of country throughout Australia and recognises their continuing connection to the land, </w:t>
      </w:r>
      <w:proofErr w:type="gramStart"/>
      <w:r>
        <w:t>sea</w:t>
      </w:r>
      <w:proofErr w:type="gramEnd"/>
      <w:r>
        <w:t xml:space="preserve"> and community. We pay our respects to the people, the </w:t>
      </w:r>
      <w:proofErr w:type="gramStart"/>
      <w:r>
        <w:t>cultures</w:t>
      </w:r>
      <w:proofErr w:type="gramEnd"/>
      <w:r>
        <w:t xml:space="preserve"> and Elders past and present.</w:t>
      </w:r>
    </w:p>
    <w:p w14:paraId="1375D5FD" w14:textId="77777777" w:rsidR="00FB7FED" w:rsidRDefault="00FB7FED">
      <w:pPr>
        <w:spacing w:before="0" w:after="200" w:line="276" w:lineRule="auto"/>
      </w:pPr>
    </w:p>
    <w:p w14:paraId="2A65B339" w14:textId="77777777" w:rsidR="00FB7FED" w:rsidRDefault="00FB7FED">
      <w:pPr>
        <w:spacing w:before="0" w:after="200" w:line="276" w:lineRule="auto"/>
      </w:pPr>
    </w:p>
    <w:p w14:paraId="5CF6740C" w14:textId="5CF4ED69" w:rsidR="0081481D" w:rsidRDefault="0081481D">
      <w:pPr>
        <w:spacing w:before="0" w:after="200" w:line="276" w:lineRule="auto"/>
      </w:pPr>
    </w:p>
    <w:p w14:paraId="63A935E9" w14:textId="77777777" w:rsidR="00DB0C94" w:rsidRDefault="00DB0C94">
      <w:pPr>
        <w:spacing w:before="0" w:after="200" w:line="276" w:lineRule="auto"/>
      </w:pPr>
    </w:p>
    <w:p w14:paraId="3C7D4DB9" w14:textId="77777777" w:rsidR="000E798C" w:rsidRDefault="000E798C">
      <w:pPr>
        <w:spacing w:before="0" w:after="200" w:line="276" w:lineRule="auto"/>
      </w:pPr>
    </w:p>
    <w:p w14:paraId="1DEE0015" w14:textId="59FA9928" w:rsidR="000E798C" w:rsidRDefault="000E798C" w:rsidP="0081481D">
      <w:pPr>
        <w:tabs>
          <w:tab w:val="left" w:pos="1980"/>
        </w:tabs>
        <w:rPr>
          <w:rFonts w:eastAsiaTheme="minorEastAsia"/>
          <w:b/>
          <w:bCs/>
          <w:spacing w:val="15"/>
        </w:rPr>
      </w:pPr>
    </w:p>
    <w:p w14:paraId="0F4449F6" w14:textId="77777777" w:rsidR="00037261" w:rsidRDefault="00037261">
      <w:pPr>
        <w:spacing w:before="0" w:after="200" w:line="276" w:lineRule="auto"/>
        <w:rPr>
          <w:rFonts w:eastAsiaTheme="minorEastAsia"/>
          <w:b/>
          <w:bCs/>
          <w:caps/>
          <w:color w:val="0E374B" w:themeColor="accent1"/>
          <w:spacing w:val="15"/>
          <w:sz w:val="32"/>
          <w:szCs w:val="32"/>
        </w:rPr>
      </w:pPr>
      <w:bookmarkStart w:id="1" w:name="_Toc174104055"/>
      <w:r>
        <w:rPr>
          <w:color w:val="0E374B" w:themeColor="accent1"/>
          <w:sz w:val="32"/>
          <w:szCs w:val="32"/>
        </w:rPr>
        <w:br w:type="page"/>
      </w:r>
    </w:p>
    <w:p w14:paraId="531EE223" w14:textId="7DD27E4D" w:rsidR="00DD2F56" w:rsidRPr="0081481D" w:rsidRDefault="00B9120D" w:rsidP="00AC290E">
      <w:pPr>
        <w:pStyle w:val="Heading1"/>
      </w:pPr>
      <w:bookmarkStart w:id="2" w:name="_Toc175908670"/>
      <w:r w:rsidRPr="0081481D">
        <w:lastRenderedPageBreak/>
        <w:t xml:space="preserve">Accountable </w:t>
      </w:r>
      <w:r w:rsidR="00B46377" w:rsidRPr="0081481D">
        <w:t>A</w:t>
      </w:r>
      <w:r w:rsidRPr="0081481D">
        <w:t xml:space="preserve">uthority </w:t>
      </w:r>
      <w:r w:rsidR="00B46377" w:rsidRPr="0081481D">
        <w:t>S</w:t>
      </w:r>
      <w:r w:rsidRPr="0081481D">
        <w:t xml:space="preserve">ign </w:t>
      </w:r>
      <w:r w:rsidR="00B46377" w:rsidRPr="0081481D">
        <w:t>O</w:t>
      </w:r>
      <w:r w:rsidRPr="0081481D">
        <w:t>ff</w:t>
      </w:r>
      <w:bookmarkEnd w:id="2"/>
      <w:r w:rsidRPr="0081481D">
        <w:t xml:space="preserve"> </w:t>
      </w:r>
      <w:bookmarkEnd w:id="1"/>
    </w:p>
    <w:p w14:paraId="23D28D1A" w14:textId="1FA4ED76" w:rsidR="000E798C" w:rsidRDefault="000E798C" w:rsidP="003E5B7F">
      <w:pPr>
        <w:pStyle w:val="BodyText1"/>
        <w:spacing w:before="0" w:after="0" w:line="240" w:lineRule="auto"/>
      </w:pPr>
      <w:r>
        <w:t xml:space="preserve">The Australian Government released the </w:t>
      </w:r>
      <w:hyperlink r:id="rId9" w:history="1">
        <w:r w:rsidRPr="007D2C90">
          <w:rPr>
            <w:rStyle w:val="Hyperlink"/>
          </w:rPr>
          <w:t>Net Zero in Government Operations Strategy</w:t>
        </w:r>
      </w:hyperlink>
      <w:r>
        <w:t xml:space="preserve"> in November 2023, setting out the overall approach and action required by Commonwealth entities to achieve the APS Net Zero 2030 target. </w:t>
      </w:r>
    </w:p>
    <w:p w14:paraId="1105365C" w14:textId="77777777" w:rsidR="003E5B7F" w:rsidRDefault="003E5B7F" w:rsidP="003E5B7F">
      <w:pPr>
        <w:pStyle w:val="BodyText1"/>
        <w:spacing w:before="0" w:after="0" w:line="240" w:lineRule="auto"/>
      </w:pPr>
    </w:p>
    <w:p w14:paraId="5F7BD7EA" w14:textId="4C46A806" w:rsidR="000E798C" w:rsidRDefault="007D2C90" w:rsidP="003E5B7F">
      <w:pPr>
        <w:pStyle w:val="BodyText1"/>
        <w:spacing w:before="0" w:after="0" w:line="240" w:lineRule="auto"/>
      </w:pPr>
      <w:r>
        <w:t xml:space="preserve">The </w:t>
      </w:r>
      <w:r w:rsidR="0046704F">
        <w:t>S</w:t>
      </w:r>
      <w:r w:rsidR="000E798C">
        <w:t>trategy represents a strong commitment by the Australian Government to lead by example on emissions reduction and contribute to the decarbonisation of Australia’s economy</w:t>
      </w:r>
      <w:r w:rsidR="000E798C" w:rsidRPr="0007750F">
        <w:t xml:space="preserve">. </w:t>
      </w:r>
    </w:p>
    <w:p w14:paraId="629BD62E" w14:textId="77777777" w:rsidR="003E5B7F" w:rsidRPr="0007750F" w:rsidRDefault="003E5B7F" w:rsidP="003E5B7F">
      <w:pPr>
        <w:pStyle w:val="BodyText1"/>
        <w:spacing w:before="0" w:after="0" w:line="240" w:lineRule="auto"/>
      </w:pPr>
    </w:p>
    <w:p w14:paraId="2D171210" w14:textId="33EC5CA5" w:rsidR="000E798C" w:rsidRDefault="007A5E71" w:rsidP="003E5B7F">
      <w:pPr>
        <w:pStyle w:val="BodyText1"/>
        <w:spacing w:before="0" w:after="0" w:line="240" w:lineRule="auto"/>
      </w:pPr>
      <w:r>
        <w:t>The Office of the Director of Public Prosecutions (</w:t>
      </w:r>
      <w:proofErr w:type="spellStart"/>
      <w:r>
        <w:t>Cth</w:t>
      </w:r>
      <w:proofErr w:type="spellEnd"/>
      <w:r>
        <w:t>)</w:t>
      </w:r>
      <w:r w:rsidR="0088166F">
        <w:t xml:space="preserve"> </w:t>
      </w:r>
      <w:r w:rsidR="000E798C" w:rsidRPr="0007750F">
        <w:t xml:space="preserve">is committed to </w:t>
      </w:r>
      <w:r w:rsidR="000E798C">
        <w:t xml:space="preserve">the </w:t>
      </w:r>
      <w:r w:rsidR="000E798C" w:rsidRPr="0007750F">
        <w:t>achiev</w:t>
      </w:r>
      <w:r w:rsidR="000E798C">
        <w:t>ement of the Government’s APS N</w:t>
      </w:r>
      <w:r w:rsidR="000E798C" w:rsidRPr="0007750F">
        <w:t xml:space="preserve">et </w:t>
      </w:r>
      <w:r w:rsidR="000E798C">
        <w:t>Z</w:t>
      </w:r>
      <w:r w:rsidR="000E798C" w:rsidRPr="0007750F">
        <w:t>ero 2030</w:t>
      </w:r>
      <w:r w:rsidR="000E798C">
        <w:t xml:space="preserve"> target</w:t>
      </w:r>
      <w:r w:rsidR="000E798C" w:rsidRPr="0007750F">
        <w:t xml:space="preserve">. </w:t>
      </w:r>
      <w:r w:rsidR="0046704F">
        <w:t xml:space="preserve">The CDPP are </w:t>
      </w:r>
      <w:r w:rsidR="000E798C" w:rsidRPr="00892A96">
        <w:t xml:space="preserve">following the APS Net Zero 2030 target, </w:t>
      </w:r>
      <w:r w:rsidR="0046704F">
        <w:t xml:space="preserve">as </w:t>
      </w:r>
      <w:r w:rsidR="000E798C" w:rsidRPr="00892A96">
        <w:t xml:space="preserve">per the Net Zero in Government Operations Strategy. </w:t>
      </w:r>
    </w:p>
    <w:p w14:paraId="0772AA01" w14:textId="77777777" w:rsidR="003E5B7F" w:rsidRPr="0007750F" w:rsidRDefault="003E5B7F" w:rsidP="003E5B7F">
      <w:pPr>
        <w:pStyle w:val="BodyText1"/>
        <w:spacing w:before="0" w:after="0" w:line="240" w:lineRule="auto"/>
      </w:pPr>
    </w:p>
    <w:p w14:paraId="691CB26C" w14:textId="32C14809" w:rsidR="000E798C" w:rsidRPr="0007750F" w:rsidRDefault="000E798C" w:rsidP="003E5B7F">
      <w:pPr>
        <w:pStyle w:val="BodyText1"/>
        <w:spacing w:before="0" w:after="0" w:line="240" w:lineRule="auto"/>
      </w:pPr>
      <w:r>
        <w:t xml:space="preserve">This Emissions Reduction Plan describes the priorities and actions </w:t>
      </w:r>
      <w:r w:rsidR="0046704F">
        <w:t xml:space="preserve">the CDPP </w:t>
      </w:r>
      <w:r w:rsidR="007A5E71">
        <w:t>will</w:t>
      </w:r>
      <w:r>
        <w:t xml:space="preserve"> tak</w:t>
      </w:r>
      <w:r w:rsidR="007A5E71">
        <w:t>e</w:t>
      </w:r>
      <w:r w:rsidRPr="0007750F">
        <w:t xml:space="preserve"> to reduce our operational emissions</w:t>
      </w:r>
      <w:r>
        <w:t xml:space="preserve"> and contribute to the APS Net Zero 2030 target</w:t>
      </w:r>
      <w:r w:rsidRPr="0007750F">
        <w:t>.</w:t>
      </w:r>
    </w:p>
    <w:p w14:paraId="6B838500" w14:textId="77777777" w:rsidR="000E798C" w:rsidRPr="0007750F" w:rsidRDefault="000E798C" w:rsidP="000E798C">
      <w:pPr>
        <w:pStyle w:val="BodyText1"/>
      </w:pPr>
    </w:p>
    <w:p w14:paraId="5B23DD5A" w14:textId="031EC6BD" w:rsidR="007D2C90" w:rsidRPr="0007750F" w:rsidRDefault="00946D4C" w:rsidP="000E798C">
      <w:pPr>
        <w:pStyle w:val="BodyText1"/>
      </w:pPr>
      <w:r>
        <w:rPr>
          <w:noProof/>
        </w:rPr>
        <w:drawing>
          <wp:inline distT="0" distB="0" distL="0" distR="0" wp14:anchorId="4EBB01FF" wp14:editId="02D4121B">
            <wp:extent cx="1400000" cy="761905"/>
            <wp:effectExtent l="0" t="0" r="0" b="635"/>
            <wp:docPr id="1234014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014300" name="Picture 1">
                      <a:extLst>
                        <a:ext uri="{C183D7F6-B498-43B3-948B-1728B52AA6E4}">
                          <adec:decorative xmlns:adec="http://schemas.microsoft.com/office/drawing/2017/decorative" val="1"/>
                        </a:ext>
                      </a:extLst>
                    </pic:cNvPr>
                    <pic:cNvPicPr/>
                  </pic:nvPicPr>
                  <pic:blipFill>
                    <a:blip r:embed="rId10"/>
                    <a:stretch>
                      <a:fillRect/>
                    </a:stretch>
                  </pic:blipFill>
                  <pic:spPr>
                    <a:xfrm>
                      <a:off x="0" y="0"/>
                      <a:ext cx="1400000" cy="761905"/>
                    </a:xfrm>
                    <a:prstGeom prst="rect">
                      <a:avLst/>
                    </a:prstGeom>
                  </pic:spPr>
                </pic:pic>
              </a:graphicData>
            </a:graphic>
          </wp:inline>
        </w:drawing>
      </w:r>
    </w:p>
    <w:p w14:paraId="40F9EBA3" w14:textId="64AC0C65" w:rsidR="007A5E71" w:rsidRDefault="007A5E71" w:rsidP="000E798C">
      <w:pPr>
        <w:pStyle w:val="BodyText1"/>
      </w:pPr>
      <w:r>
        <w:t>Raelene Sharp KC</w:t>
      </w:r>
      <w:r>
        <w:br/>
        <w:t>Director</w:t>
      </w:r>
    </w:p>
    <w:p w14:paraId="3DC5809D" w14:textId="77777777" w:rsidR="00037261" w:rsidRDefault="00037261">
      <w:pPr>
        <w:spacing w:before="0" w:after="200" w:line="276" w:lineRule="auto"/>
      </w:pPr>
    </w:p>
    <w:p w14:paraId="039E0B9F" w14:textId="16F3C51E" w:rsidR="007A5E71" w:rsidRDefault="007A5E71">
      <w:pPr>
        <w:spacing w:before="0" w:after="200" w:line="276" w:lineRule="auto"/>
        <w:rPr>
          <w:rFonts w:eastAsiaTheme="minorEastAsia"/>
          <w:b/>
          <w:bCs/>
          <w:spacing w:val="15"/>
        </w:rPr>
      </w:pPr>
      <w:r>
        <w:br w:type="page"/>
      </w:r>
    </w:p>
    <w:p w14:paraId="042B6619" w14:textId="34EA240E" w:rsidR="00B46377" w:rsidRPr="0081481D" w:rsidRDefault="00B46377" w:rsidP="00AC290E">
      <w:pPr>
        <w:pStyle w:val="Heading1"/>
      </w:pPr>
      <w:bookmarkStart w:id="3" w:name="_Toc175908671"/>
      <w:r w:rsidRPr="0081481D">
        <w:lastRenderedPageBreak/>
        <w:t>Emissions Reduction Plan</w:t>
      </w:r>
      <w:bookmarkEnd w:id="3"/>
    </w:p>
    <w:p w14:paraId="01878D59" w14:textId="5B302733" w:rsidR="00830F3F" w:rsidRPr="00AC290E" w:rsidRDefault="007A5E71" w:rsidP="00AC290E">
      <w:pPr>
        <w:pStyle w:val="Heading2"/>
      </w:pPr>
      <w:bookmarkStart w:id="4" w:name="_Toc175740179"/>
      <w:bookmarkStart w:id="5" w:name="_Toc175741357"/>
      <w:bookmarkStart w:id="6" w:name="_Toc175822550"/>
      <w:bookmarkStart w:id="7" w:name="_Toc175832341"/>
      <w:bookmarkStart w:id="8" w:name="_Toc175832389"/>
      <w:bookmarkStart w:id="9" w:name="_Toc175908672"/>
      <w:r w:rsidRPr="00AC290E">
        <w:t>Purpose</w:t>
      </w:r>
      <w:bookmarkEnd w:id="4"/>
      <w:bookmarkEnd w:id="5"/>
      <w:bookmarkEnd w:id="6"/>
      <w:bookmarkEnd w:id="7"/>
      <w:bookmarkEnd w:id="8"/>
      <w:bookmarkEnd w:id="9"/>
    </w:p>
    <w:p w14:paraId="3D2C6C4C" w14:textId="32734EC3" w:rsidR="007A5E71" w:rsidRDefault="007A5E71" w:rsidP="003E5B7F">
      <w:pPr>
        <w:pStyle w:val="BodyText1"/>
        <w:spacing w:before="0" w:after="0" w:line="240" w:lineRule="auto"/>
      </w:pPr>
      <w:r>
        <w:t xml:space="preserve">The </w:t>
      </w:r>
      <w:r w:rsidR="00097AC1">
        <w:t>Office of the Director of Public Prosecutions (</w:t>
      </w:r>
      <w:proofErr w:type="spellStart"/>
      <w:r w:rsidR="00097AC1">
        <w:t>Cth</w:t>
      </w:r>
      <w:proofErr w:type="spellEnd"/>
      <w:r w:rsidR="00097AC1">
        <w:t>) (C</w:t>
      </w:r>
      <w:r w:rsidR="0088166F">
        <w:t>DPP</w:t>
      </w:r>
      <w:r w:rsidR="00097AC1">
        <w:t>)</w:t>
      </w:r>
      <w:r>
        <w:t xml:space="preserve"> is responsible for</w:t>
      </w:r>
      <w:r w:rsidRPr="0007750F">
        <w:t xml:space="preserve"> managing and implementing emissions reduction initiatives set by the Australian Government</w:t>
      </w:r>
      <w:r>
        <w:t>’s</w:t>
      </w:r>
      <w:r w:rsidRPr="0007750F">
        <w:t xml:space="preserve"> </w:t>
      </w:r>
      <w:hyperlink r:id="rId11" w:history="1">
        <w:r w:rsidRPr="004754FA">
          <w:rPr>
            <w:rStyle w:val="Hyperlink"/>
          </w:rPr>
          <w:t>Net Zero in Government Operations Strategy</w:t>
        </w:r>
      </w:hyperlink>
      <w:r>
        <w:rPr>
          <w:rStyle w:val="Hyperlink"/>
        </w:rPr>
        <w:t>,</w:t>
      </w:r>
      <w:r w:rsidRPr="0007750F">
        <w:t xml:space="preserve"> </w:t>
      </w:r>
      <w:r>
        <w:t>setting out the</w:t>
      </w:r>
      <w:r w:rsidRPr="0007750F">
        <w:t xml:space="preserve"> approach to achieving net zero greenhouse gas emissions </w:t>
      </w:r>
      <w:r>
        <w:t>from</w:t>
      </w:r>
      <w:r w:rsidRPr="0007750F">
        <w:t xml:space="preserve"> operations </w:t>
      </w:r>
      <w:r>
        <w:t xml:space="preserve">by 2030 </w:t>
      </w:r>
      <w:r w:rsidRPr="0007750F">
        <w:t xml:space="preserve">and </w:t>
      </w:r>
      <w:r>
        <w:t xml:space="preserve">the </w:t>
      </w:r>
      <w:r w:rsidRPr="0007750F">
        <w:t>reinstatement of public emissions reporting.</w:t>
      </w:r>
    </w:p>
    <w:p w14:paraId="771713C2" w14:textId="77777777" w:rsidR="003E5B7F" w:rsidRPr="0007750F" w:rsidRDefault="003E5B7F" w:rsidP="003E5B7F">
      <w:pPr>
        <w:pStyle w:val="BodyText1"/>
        <w:spacing w:before="0" w:after="0" w:line="240" w:lineRule="auto"/>
      </w:pPr>
    </w:p>
    <w:p w14:paraId="70B163D0" w14:textId="3B3BBDD4" w:rsidR="007A5E71" w:rsidRDefault="007A5E71" w:rsidP="003E5B7F">
      <w:pPr>
        <w:pStyle w:val="BodyText1"/>
        <w:spacing w:before="0" w:after="0" w:line="240" w:lineRule="auto"/>
      </w:pPr>
      <w:r w:rsidRPr="0007750F">
        <w:t xml:space="preserve">The goal of this </w:t>
      </w:r>
      <w:r>
        <w:t>Emissions Reduction P</w:t>
      </w:r>
      <w:r w:rsidRPr="0007750F">
        <w:t xml:space="preserve">lan is to provide a pathway for </w:t>
      </w:r>
      <w:r>
        <w:t xml:space="preserve">the </w:t>
      </w:r>
      <w:r w:rsidR="0046704F">
        <w:t xml:space="preserve">CDPP </w:t>
      </w:r>
      <w:r w:rsidRPr="0007750F">
        <w:t xml:space="preserve">to </w:t>
      </w:r>
      <w:r>
        <w:t xml:space="preserve">contribute to the achievement of the </w:t>
      </w:r>
      <w:r w:rsidRPr="00156764">
        <w:t>APS Net Zero 2030</w:t>
      </w:r>
      <w:r>
        <w:t xml:space="preserve"> </w:t>
      </w:r>
      <w:r w:rsidRPr="00156764">
        <w:t xml:space="preserve">target </w:t>
      </w:r>
      <w:r w:rsidRPr="0007750F">
        <w:t>through emissions reduction activities</w:t>
      </w:r>
      <w:r w:rsidRPr="00156764">
        <w:t>.</w:t>
      </w:r>
      <w:r w:rsidDel="00C96B8C">
        <w:t xml:space="preserve"> </w:t>
      </w:r>
      <w:r w:rsidRPr="0007750F">
        <w:t xml:space="preserve">This plan encompasses existing and new </w:t>
      </w:r>
      <w:r>
        <w:t>priorities and actions</w:t>
      </w:r>
      <w:r w:rsidRPr="0007750F">
        <w:t xml:space="preserve"> to </w:t>
      </w:r>
      <w:r w:rsidR="0046704F">
        <w:t xml:space="preserve">be undertaken to </w:t>
      </w:r>
      <w:r w:rsidRPr="0007750F">
        <w:t>reduce emissions.</w:t>
      </w:r>
      <w:r w:rsidR="000558CB">
        <w:t xml:space="preserve"> </w:t>
      </w:r>
      <w:r>
        <w:t xml:space="preserve">This Emissions Reduction Plan has been completed in accordance with the </w:t>
      </w:r>
      <w:hyperlink r:id="rId12" w:history="1">
        <w:r>
          <w:t>s</w:t>
        </w:r>
        <w:r w:rsidRPr="00256D88">
          <w:t>trategy</w:t>
        </w:r>
      </w:hyperlink>
      <w:r>
        <w:t>, associated guidance and reporting standards for annual emissions reporting.</w:t>
      </w:r>
    </w:p>
    <w:p w14:paraId="0BA73676" w14:textId="2E410377" w:rsidR="0046704F" w:rsidRPr="0081481D" w:rsidRDefault="0046704F" w:rsidP="00AC290E">
      <w:pPr>
        <w:pStyle w:val="Heading2"/>
      </w:pPr>
      <w:bookmarkStart w:id="10" w:name="_Toc175740180"/>
      <w:bookmarkStart w:id="11" w:name="_Toc175741358"/>
      <w:bookmarkStart w:id="12" w:name="_Toc175822551"/>
      <w:bookmarkStart w:id="13" w:name="_Toc175832342"/>
      <w:bookmarkStart w:id="14" w:name="_Toc175832390"/>
      <w:bookmarkStart w:id="15" w:name="_Toc175908673"/>
      <w:r w:rsidRPr="0081481D">
        <w:t>Net zero greenhouse emissions</w:t>
      </w:r>
      <w:bookmarkEnd w:id="10"/>
      <w:bookmarkEnd w:id="11"/>
      <w:bookmarkEnd w:id="12"/>
      <w:bookmarkEnd w:id="13"/>
      <w:bookmarkEnd w:id="14"/>
      <w:bookmarkEnd w:id="15"/>
    </w:p>
    <w:p w14:paraId="79FEBDF4" w14:textId="6AFD57FF" w:rsidR="0046704F" w:rsidRPr="001467DF" w:rsidRDefault="0046704F" w:rsidP="003E5B7F">
      <w:pPr>
        <w:pStyle w:val="BodyText1"/>
        <w:spacing w:before="0" w:after="0" w:line="240" w:lineRule="auto"/>
      </w:pPr>
      <w:r w:rsidRPr="001467DF">
        <w:t xml:space="preserve">APS Net Zero 2030 is the target set by the Australian Government to achieve net zero greenhouse gas emissions from government operations by the year 2030. It includes scope 1 and scope 2 emissions from activities in Australia and its territories, as described in the Strategy. </w:t>
      </w:r>
      <w:r w:rsidR="001467DF" w:rsidRPr="001467DF">
        <w:t>The APS Net Zero 2030 target applies at the aggregate level to non-corporate Commonwealth entities and generally covers the entirety of the entity’s organisation. From an organisational perspective, this means minimising the greenhouse gas emissions that are within our control.</w:t>
      </w:r>
    </w:p>
    <w:p w14:paraId="27C4BFE5" w14:textId="4F5A7810" w:rsidR="0046704F" w:rsidRPr="0081481D" w:rsidRDefault="0046704F" w:rsidP="00AC290E">
      <w:pPr>
        <w:pStyle w:val="Heading2"/>
      </w:pPr>
      <w:bookmarkStart w:id="16" w:name="_Toc175740181"/>
      <w:bookmarkStart w:id="17" w:name="_Toc175741359"/>
      <w:bookmarkStart w:id="18" w:name="_Toc175822552"/>
      <w:bookmarkStart w:id="19" w:name="_Toc175832343"/>
      <w:bookmarkStart w:id="20" w:name="_Toc175832391"/>
      <w:bookmarkStart w:id="21" w:name="_Toc175908674"/>
      <w:r w:rsidRPr="0081481D">
        <w:t>Governance and reporting</w:t>
      </w:r>
      <w:bookmarkEnd w:id="16"/>
      <w:bookmarkEnd w:id="17"/>
      <w:bookmarkEnd w:id="18"/>
      <w:bookmarkEnd w:id="19"/>
      <w:bookmarkEnd w:id="20"/>
      <w:bookmarkEnd w:id="21"/>
    </w:p>
    <w:p w14:paraId="4638FCD4" w14:textId="56631B17" w:rsidR="007A5E71" w:rsidRDefault="007A5E71" w:rsidP="003E5B7F">
      <w:pPr>
        <w:pStyle w:val="BodyText1"/>
        <w:spacing w:before="0" w:after="0" w:line="240" w:lineRule="auto"/>
      </w:pPr>
      <w:r w:rsidRPr="00FD066F">
        <w:t xml:space="preserve">Progress against actions </w:t>
      </w:r>
      <w:r w:rsidR="00245325">
        <w:t xml:space="preserve">identified </w:t>
      </w:r>
      <w:r w:rsidRPr="00FD066F">
        <w:t xml:space="preserve">within </w:t>
      </w:r>
      <w:r>
        <w:t xml:space="preserve">this </w:t>
      </w:r>
      <w:r w:rsidR="00245325">
        <w:t xml:space="preserve">Emissions Reduction Plan, </w:t>
      </w:r>
      <w:r>
        <w:t>and any additional measures adopted, will</w:t>
      </w:r>
      <w:r w:rsidRPr="00FD066F">
        <w:t xml:space="preserve"> be</w:t>
      </w:r>
      <w:r w:rsidR="00816F00">
        <w:t xml:space="preserve"> reported as part of regular annual reporting activities and</w:t>
      </w:r>
      <w:r w:rsidRPr="00FD066F">
        <w:t xml:space="preserve"> will be used as a measure of </w:t>
      </w:r>
      <w:r w:rsidR="00816F00">
        <w:t xml:space="preserve">the </w:t>
      </w:r>
      <w:r w:rsidR="00245325">
        <w:t>CDPP</w:t>
      </w:r>
      <w:r w:rsidR="00816F00">
        <w:t>’s</w:t>
      </w:r>
      <w:r w:rsidRPr="00FD066F">
        <w:t xml:space="preserve"> progress towards reducing emissions.</w:t>
      </w:r>
      <w:r w:rsidR="007D2C90">
        <w:t xml:space="preserve"> </w:t>
      </w:r>
      <w:r>
        <w:t xml:space="preserve">As part of the Net Zero in Government Operations Annual Progress Report, the Department of Finance </w:t>
      </w:r>
      <w:r w:rsidRPr="0007750F">
        <w:t xml:space="preserve">will </w:t>
      </w:r>
      <w:r>
        <w:t>aggregate these measures to provide whole-of-Australian Government</w:t>
      </w:r>
      <w:r w:rsidRPr="0007750F">
        <w:t xml:space="preserve"> </w:t>
      </w:r>
      <w:r w:rsidR="3C0E5935">
        <w:t xml:space="preserve">(WoAG) </w:t>
      </w:r>
      <w:r w:rsidRPr="0007750F">
        <w:t xml:space="preserve">emissions </w:t>
      </w:r>
      <w:r>
        <w:t>reporting</w:t>
      </w:r>
      <w:r w:rsidRPr="0007750F">
        <w:t>.</w:t>
      </w:r>
    </w:p>
    <w:p w14:paraId="1348320D" w14:textId="26DFAAB9" w:rsidR="007A5E71" w:rsidRPr="0081481D" w:rsidRDefault="0046704F" w:rsidP="00AC290E">
      <w:pPr>
        <w:pStyle w:val="Heading2"/>
      </w:pPr>
      <w:bookmarkStart w:id="22" w:name="_Toc174104060"/>
      <w:bookmarkStart w:id="23" w:name="_Toc175740182"/>
      <w:bookmarkStart w:id="24" w:name="_Toc175741360"/>
      <w:bookmarkStart w:id="25" w:name="_Toc175822553"/>
      <w:bookmarkStart w:id="26" w:name="_Toc175832344"/>
      <w:bookmarkStart w:id="27" w:name="_Toc175832392"/>
      <w:bookmarkStart w:id="28" w:name="_Toc175908675"/>
      <w:r w:rsidRPr="0081481D">
        <w:t>CDPP o</w:t>
      </w:r>
      <w:r w:rsidR="007A5E71" w:rsidRPr="0081481D">
        <w:t>perational context</w:t>
      </w:r>
      <w:bookmarkEnd w:id="22"/>
      <w:bookmarkEnd w:id="23"/>
      <w:bookmarkEnd w:id="24"/>
      <w:bookmarkEnd w:id="25"/>
      <w:bookmarkEnd w:id="26"/>
      <w:bookmarkEnd w:id="27"/>
      <w:bookmarkEnd w:id="28"/>
    </w:p>
    <w:p w14:paraId="4381521D" w14:textId="40067E15" w:rsidR="00816F00" w:rsidRDefault="00816F00" w:rsidP="003E5B7F">
      <w:pPr>
        <w:pStyle w:val="BodyText1"/>
        <w:spacing w:before="0" w:after="0" w:line="240" w:lineRule="auto"/>
      </w:pPr>
      <w:r>
        <w:t>The CDPP is the peak agency in the Commonwealth criminal justice system. We prosecute a significant number of crime types with increasing complexity</w:t>
      </w:r>
      <w:r w:rsidR="00D141DF">
        <w:t xml:space="preserve"> and</w:t>
      </w:r>
      <w:r>
        <w:t xml:space="preserve"> respond to the evolving priorities of our law enforcement and regulatory partners.</w:t>
      </w:r>
    </w:p>
    <w:p w14:paraId="5AA5EF30" w14:textId="77777777" w:rsidR="000558CB" w:rsidRDefault="000558CB" w:rsidP="003E5B7F">
      <w:pPr>
        <w:pStyle w:val="BodyText1"/>
        <w:spacing w:before="0" w:after="0" w:line="240" w:lineRule="auto"/>
      </w:pPr>
    </w:p>
    <w:p w14:paraId="1595907C" w14:textId="17998D29" w:rsidR="00816F00" w:rsidRPr="0081481D" w:rsidRDefault="00816F00" w:rsidP="003E5B7F">
      <w:pPr>
        <w:pStyle w:val="BodyText1"/>
        <w:spacing w:before="0" w:after="0" w:line="240" w:lineRule="auto"/>
      </w:pPr>
      <w:r>
        <w:t>E</w:t>
      </w:r>
      <w:r w:rsidRPr="00816F00">
        <w:t xml:space="preserve">stablished under the </w:t>
      </w:r>
      <w:r w:rsidRPr="00DB0C94">
        <w:rPr>
          <w:i/>
        </w:rPr>
        <w:t>Director of Public Prosecutions Act 1983</w:t>
      </w:r>
      <w:r>
        <w:t xml:space="preserve">, we are </w:t>
      </w:r>
      <w:r w:rsidRPr="00816F00">
        <w:t>within the Commonwealth Attorney-General’s portfolio, but operate independently of the Attorney-General and the political process.</w:t>
      </w:r>
      <w:r w:rsidR="007D2C90">
        <w:t xml:space="preserve"> We are </w:t>
      </w:r>
      <w:r w:rsidRPr="00816F00">
        <w:t>a national prosecution service</w:t>
      </w:r>
      <w:r w:rsidR="007D2C90">
        <w:t>,</w:t>
      </w:r>
      <w:r w:rsidRPr="00816F00">
        <w:t xml:space="preserve"> practic</w:t>
      </w:r>
      <w:r w:rsidR="007D2C90">
        <w:t>ing</w:t>
      </w:r>
      <w:r w:rsidRPr="00816F00">
        <w:t xml:space="preserve"> in each </w:t>
      </w:r>
      <w:r w:rsidR="00AD53D3">
        <w:t>s</w:t>
      </w:r>
      <w:r w:rsidRPr="00816F00">
        <w:t xml:space="preserve">tate and </w:t>
      </w:r>
      <w:r w:rsidR="00AD53D3">
        <w:t>t</w:t>
      </w:r>
      <w:r w:rsidRPr="00816F00">
        <w:t xml:space="preserve">erritory of </w:t>
      </w:r>
      <w:r w:rsidR="00B74DEF" w:rsidRPr="00816F00">
        <w:t>Australia</w:t>
      </w:r>
      <w:r w:rsidR="00B74DEF">
        <w:t>,</w:t>
      </w:r>
      <w:r w:rsidR="00B74DEF" w:rsidRPr="00816F00">
        <w:t xml:space="preserve"> with</w:t>
      </w:r>
      <w:r w:rsidRPr="00816F00">
        <w:t xml:space="preserve"> offices</w:t>
      </w:r>
      <w:r w:rsidR="00ED35C2">
        <w:t xml:space="preserve"> </w:t>
      </w:r>
      <w:r w:rsidR="001748D7">
        <w:t>located</w:t>
      </w:r>
      <w:r w:rsidRPr="00816F00">
        <w:t xml:space="preserve"> in Sydney, Melbourne, Brisbane, Perth, Adelaide, Canberra, </w:t>
      </w:r>
      <w:proofErr w:type="gramStart"/>
      <w:r w:rsidRPr="00816F00">
        <w:t>Hobart</w:t>
      </w:r>
      <w:proofErr w:type="gramEnd"/>
      <w:r w:rsidRPr="00816F00">
        <w:t xml:space="preserve"> and Darwin. There are sub-offices of the </w:t>
      </w:r>
      <w:r w:rsidRPr="0081481D">
        <w:t>Brisbane office in Townsville and Cairns, which perform prosecutions in central and north Queensland.</w:t>
      </w:r>
    </w:p>
    <w:p w14:paraId="2A5904DB" w14:textId="15240424" w:rsidR="00B46377" w:rsidRPr="0081481D" w:rsidRDefault="00B46377" w:rsidP="00AC290E">
      <w:pPr>
        <w:pStyle w:val="Heading2"/>
      </w:pPr>
      <w:bookmarkStart w:id="29" w:name="_Toc175740183"/>
      <w:bookmarkStart w:id="30" w:name="_Toc175741361"/>
      <w:bookmarkStart w:id="31" w:name="_Toc175822554"/>
      <w:bookmarkStart w:id="32" w:name="_Toc175832345"/>
      <w:bookmarkStart w:id="33" w:name="_Toc175832393"/>
      <w:bookmarkStart w:id="34" w:name="_Toc175834927"/>
      <w:bookmarkStart w:id="35" w:name="_Toc175835636"/>
      <w:bookmarkStart w:id="36" w:name="_Toc175908676"/>
      <w:r w:rsidRPr="0081481D">
        <w:t>Highlights</w:t>
      </w:r>
      <w:bookmarkEnd w:id="29"/>
      <w:bookmarkEnd w:id="30"/>
      <w:bookmarkEnd w:id="31"/>
      <w:bookmarkEnd w:id="32"/>
      <w:bookmarkEnd w:id="33"/>
      <w:bookmarkEnd w:id="34"/>
      <w:bookmarkEnd w:id="35"/>
      <w:bookmarkEnd w:id="36"/>
    </w:p>
    <w:p w14:paraId="3A7DA084" w14:textId="483EA556" w:rsidR="00B46377" w:rsidRPr="00C324DF" w:rsidRDefault="00246970"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Pr>
          <w:rFonts w:ascii="Calibri" w:hAnsi="Calibri" w:cs="Calibri"/>
          <w:color w:val="111C2C"/>
        </w:rPr>
        <w:t xml:space="preserve">The </w:t>
      </w:r>
      <w:r w:rsidR="00E23ADC" w:rsidRPr="00C324DF">
        <w:rPr>
          <w:rFonts w:ascii="Calibri" w:hAnsi="Calibri" w:cs="Calibri"/>
          <w:color w:val="111C2C"/>
        </w:rPr>
        <w:t>CDPP</w:t>
      </w:r>
      <w:r w:rsidR="00B46377" w:rsidRPr="00C324DF">
        <w:rPr>
          <w:rFonts w:ascii="Calibri" w:hAnsi="Calibri" w:cs="Calibri"/>
          <w:color w:val="111C2C"/>
        </w:rPr>
        <w:t xml:space="preserve">’s </w:t>
      </w:r>
      <w:r w:rsidR="00B84D12" w:rsidRPr="00B84D12">
        <w:rPr>
          <w:rFonts w:ascii="Calibri" w:hAnsi="Calibri" w:cs="Calibri"/>
          <w:color w:val="111C2C"/>
        </w:rPr>
        <w:t>property portfolio is fully electrified, with no gas used to energise sites</w:t>
      </w:r>
      <w:r w:rsidR="0081481D" w:rsidRPr="00C324DF">
        <w:rPr>
          <w:rFonts w:ascii="Calibri" w:hAnsi="Calibri" w:cs="Calibri"/>
          <w:color w:val="111C2C"/>
        </w:rPr>
        <w:t>.</w:t>
      </w:r>
    </w:p>
    <w:p w14:paraId="0083AC84" w14:textId="59A424DB" w:rsidR="00B46377" w:rsidRPr="00C324DF" w:rsidRDefault="00B46377"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Implementation of LED lighting systems in all new office fit outs</w:t>
      </w:r>
      <w:r w:rsidR="0081481D" w:rsidRPr="00C324DF">
        <w:rPr>
          <w:rFonts w:ascii="Calibri" w:hAnsi="Calibri" w:cs="Calibri"/>
          <w:color w:val="111C2C"/>
        </w:rPr>
        <w:t>.</w:t>
      </w:r>
    </w:p>
    <w:p w14:paraId="567DFF25" w14:textId="0CF15F2E" w:rsidR="00B46377" w:rsidRPr="00C324DF" w:rsidRDefault="00B46377"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Minimisation of paper consumption with printers defaulting to two-sided black and white printing, with electronic documents supported throughout the</w:t>
      </w:r>
      <w:r w:rsidR="00E23ADC" w:rsidRPr="00C324DF">
        <w:rPr>
          <w:rFonts w:ascii="Calibri" w:hAnsi="Calibri" w:cs="Calibri"/>
          <w:color w:val="111C2C"/>
        </w:rPr>
        <w:t xml:space="preserve"> CDPP</w:t>
      </w:r>
      <w:r w:rsidR="0081481D" w:rsidRPr="00C324DF">
        <w:rPr>
          <w:rFonts w:ascii="Calibri" w:hAnsi="Calibri" w:cs="Calibri"/>
          <w:color w:val="111C2C"/>
        </w:rPr>
        <w:t>.</w:t>
      </w:r>
      <w:r w:rsidR="00E01FE2">
        <w:rPr>
          <w:rFonts w:ascii="Calibri" w:hAnsi="Calibri" w:cs="Calibri"/>
          <w:color w:val="111C2C"/>
        </w:rPr>
        <w:t xml:space="preserve"> Additionally, the CDPP is piloting an electronic trial solution which removes the need for paper in court trials. </w:t>
      </w:r>
    </w:p>
    <w:p w14:paraId="3AB21B50" w14:textId="1698BA8B" w:rsidR="00B46377" w:rsidRPr="00C324DF" w:rsidRDefault="00B46377"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 xml:space="preserve">Energy-saver mode </w:t>
      </w:r>
      <w:r w:rsidR="006F1FF7" w:rsidRPr="00C324DF">
        <w:rPr>
          <w:rFonts w:ascii="Calibri" w:hAnsi="Calibri" w:cs="Calibri"/>
          <w:color w:val="111C2C"/>
        </w:rPr>
        <w:t>used</w:t>
      </w:r>
      <w:r w:rsidRPr="00C324DF">
        <w:rPr>
          <w:rFonts w:ascii="Calibri" w:hAnsi="Calibri" w:cs="Calibri"/>
          <w:color w:val="111C2C"/>
        </w:rPr>
        <w:t xml:space="preserve"> for most office equipment when not in use</w:t>
      </w:r>
      <w:r w:rsidR="0081481D" w:rsidRPr="00C324DF">
        <w:rPr>
          <w:rFonts w:ascii="Calibri" w:hAnsi="Calibri" w:cs="Calibri"/>
          <w:color w:val="111C2C"/>
        </w:rPr>
        <w:t>.</w:t>
      </w:r>
    </w:p>
    <w:p w14:paraId="5DCEAE71" w14:textId="7C393265" w:rsidR="00B46377" w:rsidRPr="00C324DF" w:rsidRDefault="00B46377"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Unnecessary travel is reduced, where possible, through teleconferencing and videoconferencing</w:t>
      </w:r>
      <w:r w:rsidR="0081481D" w:rsidRPr="00C324DF">
        <w:rPr>
          <w:rFonts w:ascii="Calibri" w:hAnsi="Calibri" w:cs="Calibri"/>
          <w:color w:val="111C2C"/>
        </w:rPr>
        <w:t>.</w:t>
      </w:r>
    </w:p>
    <w:p w14:paraId="5D0711D8" w14:textId="563BB4C2" w:rsidR="00B46377" w:rsidRPr="00C324DF" w:rsidRDefault="00B46377"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lastRenderedPageBreak/>
        <w:t xml:space="preserve">Electrical appliances are minimum </w:t>
      </w:r>
      <w:r w:rsidR="000558CB" w:rsidRPr="00C324DF">
        <w:rPr>
          <w:rFonts w:ascii="Calibri" w:hAnsi="Calibri" w:cs="Calibri"/>
          <w:color w:val="111C2C"/>
        </w:rPr>
        <w:t>five</w:t>
      </w:r>
      <w:r w:rsidR="006D0812">
        <w:rPr>
          <w:rFonts w:ascii="Calibri" w:hAnsi="Calibri" w:cs="Calibri"/>
          <w:color w:val="111C2C"/>
        </w:rPr>
        <w:t>-</w:t>
      </w:r>
      <w:r w:rsidRPr="00C324DF">
        <w:rPr>
          <w:rFonts w:ascii="Calibri" w:hAnsi="Calibri" w:cs="Calibri"/>
          <w:color w:val="111C2C"/>
        </w:rPr>
        <w:t>star energy rated where possible</w:t>
      </w:r>
      <w:r w:rsidR="0081481D" w:rsidRPr="00C324DF">
        <w:rPr>
          <w:rFonts w:ascii="Calibri" w:hAnsi="Calibri" w:cs="Calibri"/>
          <w:color w:val="111C2C"/>
        </w:rPr>
        <w:t>.</w:t>
      </w:r>
    </w:p>
    <w:p w14:paraId="1F12BAF0" w14:textId="1332AB17" w:rsidR="00B46377" w:rsidRPr="00C324DF" w:rsidRDefault="00B46377"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Toner cartridges</w:t>
      </w:r>
      <w:r w:rsidR="004133CF" w:rsidRPr="00C324DF">
        <w:rPr>
          <w:rFonts w:ascii="Calibri" w:hAnsi="Calibri" w:cs="Calibri"/>
          <w:color w:val="111C2C"/>
        </w:rPr>
        <w:t xml:space="preserve"> and </w:t>
      </w:r>
      <w:r w:rsidRPr="00C324DF">
        <w:rPr>
          <w:rFonts w:ascii="Calibri" w:hAnsi="Calibri" w:cs="Calibri"/>
          <w:color w:val="111C2C"/>
        </w:rPr>
        <w:t>fluorescent lights are recycled</w:t>
      </w:r>
      <w:r w:rsidR="0081481D" w:rsidRPr="00C324DF">
        <w:rPr>
          <w:rFonts w:ascii="Calibri" w:hAnsi="Calibri" w:cs="Calibri"/>
          <w:color w:val="111C2C"/>
        </w:rPr>
        <w:t>.</w:t>
      </w:r>
    </w:p>
    <w:p w14:paraId="2C9A5132" w14:textId="2C48D831" w:rsidR="00B46377" w:rsidRPr="00C324DF" w:rsidRDefault="006F1FF7"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 xml:space="preserve">Fifty per cent </w:t>
      </w:r>
      <w:r w:rsidR="00843F24" w:rsidRPr="00C324DF">
        <w:rPr>
          <w:rFonts w:ascii="Calibri" w:hAnsi="Calibri" w:cs="Calibri"/>
          <w:color w:val="111C2C"/>
        </w:rPr>
        <w:t>of c</w:t>
      </w:r>
      <w:r w:rsidR="00B46377" w:rsidRPr="00C324DF">
        <w:rPr>
          <w:rFonts w:ascii="Calibri" w:hAnsi="Calibri" w:cs="Calibri"/>
          <w:color w:val="111C2C"/>
        </w:rPr>
        <w:t xml:space="preserve">urrent fleet </w:t>
      </w:r>
      <w:r w:rsidR="00E23ADC" w:rsidRPr="00C324DF">
        <w:rPr>
          <w:rFonts w:ascii="Calibri" w:hAnsi="Calibri" w:cs="Calibri"/>
          <w:color w:val="111C2C"/>
        </w:rPr>
        <w:t xml:space="preserve">of </w:t>
      </w:r>
      <w:r w:rsidR="000558CB" w:rsidRPr="00C324DF">
        <w:rPr>
          <w:rFonts w:ascii="Calibri" w:hAnsi="Calibri" w:cs="Calibri"/>
          <w:color w:val="111C2C"/>
        </w:rPr>
        <w:t>eight</w:t>
      </w:r>
      <w:r w:rsidR="00E23ADC" w:rsidRPr="00C324DF">
        <w:rPr>
          <w:rFonts w:ascii="Calibri" w:hAnsi="Calibri" w:cs="Calibri"/>
          <w:color w:val="111C2C"/>
        </w:rPr>
        <w:t xml:space="preserve"> vehicles</w:t>
      </w:r>
      <w:r w:rsidR="00843F24" w:rsidRPr="00C324DF">
        <w:rPr>
          <w:rFonts w:ascii="Calibri" w:hAnsi="Calibri" w:cs="Calibri"/>
          <w:color w:val="111C2C"/>
        </w:rPr>
        <w:t xml:space="preserve"> are </w:t>
      </w:r>
      <w:r w:rsidR="00B46377" w:rsidRPr="00C324DF">
        <w:rPr>
          <w:rFonts w:ascii="Calibri" w:hAnsi="Calibri" w:cs="Calibri"/>
          <w:color w:val="111C2C"/>
        </w:rPr>
        <w:t>low emissions vehicles</w:t>
      </w:r>
      <w:r w:rsidR="0081481D" w:rsidRPr="00C324DF">
        <w:rPr>
          <w:rFonts w:ascii="Calibri" w:hAnsi="Calibri" w:cs="Calibri"/>
          <w:color w:val="111C2C"/>
        </w:rPr>
        <w:t>.</w:t>
      </w:r>
    </w:p>
    <w:p w14:paraId="26436A4C" w14:textId="77777777" w:rsidR="007A5E71" w:rsidRPr="0081481D" w:rsidRDefault="007A5E71" w:rsidP="00AC290E">
      <w:pPr>
        <w:pStyle w:val="Heading2"/>
      </w:pPr>
      <w:bookmarkStart w:id="37" w:name="_Toc174104061"/>
      <w:bookmarkStart w:id="38" w:name="_Toc175740184"/>
      <w:bookmarkStart w:id="39" w:name="_Toc175741362"/>
      <w:bookmarkStart w:id="40" w:name="_Toc175822555"/>
      <w:bookmarkStart w:id="41" w:name="_Toc175832346"/>
      <w:bookmarkStart w:id="42" w:name="_Toc175832394"/>
      <w:bookmarkStart w:id="43" w:name="_Toc175908677"/>
      <w:r w:rsidRPr="0081481D">
        <w:t>Baseline emissions</w:t>
      </w:r>
      <w:bookmarkEnd w:id="37"/>
      <w:bookmarkEnd w:id="38"/>
      <w:bookmarkEnd w:id="39"/>
      <w:bookmarkEnd w:id="40"/>
      <w:bookmarkEnd w:id="41"/>
      <w:bookmarkEnd w:id="42"/>
      <w:bookmarkEnd w:id="43"/>
    </w:p>
    <w:p w14:paraId="01E54FDD" w14:textId="77777777" w:rsidR="003C770B" w:rsidRDefault="00816F00" w:rsidP="003E5B7F">
      <w:pPr>
        <w:pStyle w:val="BodyText1"/>
        <w:spacing w:before="0" w:after="0" w:line="240" w:lineRule="auto"/>
      </w:pPr>
      <w:r>
        <w:t>Baseline emissions are a record of greenhouse gasses produced in the past</w:t>
      </w:r>
      <w:r w:rsidR="00AD53D3">
        <w:t xml:space="preserve">, </w:t>
      </w:r>
      <w:r>
        <w:t xml:space="preserve">prior to the introduction of any strategies to reduce emissions. </w:t>
      </w:r>
    </w:p>
    <w:p w14:paraId="1B3A7011" w14:textId="77777777" w:rsidR="000558CB" w:rsidRDefault="000558CB" w:rsidP="003E5B7F">
      <w:pPr>
        <w:pStyle w:val="BodyText1"/>
        <w:spacing w:before="0" w:after="0" w:line="240" w:lineRule="auto"/>
      </w:pPr>
    </w:p>
    <w:p w14:paraId="7197D70B" w14:textId="0A309E51" w:rsidR="007A5E71" w:rsidRDefault="003C770B" w:rsidP="003E5B7F">
      <w:pPr>
        <w:pStyle w:val="BodyText1"/>
        <w:spacing w:before="0" w:after="0" w:line="240" w:lineRule="auto"/>
      </w:pPr>
      <w:r w:rsidRPr="00321649">
        <w:rPr>
          <w:rFonts w:ascii="Calibri" w:hAnsi="Calibri" w:cs="Calibri"/>
        </w:rPr>
        <w:t xml:space="preserve">The baseline emissions for this plan focus on scope 1 and scope 2 emissions, consistent with the APS Net Zero 2030 target. Electricity-related emissions were calculated using the location-based method. The complete 2022-23 greenhouse gas emissions inventory tables for </w:t>
      </w:r>
      <w:r>
        <w:rPr>
          <w:rFonts w:ascii="Calibri" w:hAnsi="Calibri" w:cs="Calibri"/>
        </w:rPr>
        <w:t>the CDPP</w:t>
      </w:r>
      <w:r w:rsidRPr="00321649">
        <w:rPr>
          <w:rFonts w:ascii="Calibri" w:hAnsi="Calibri" w:cs="Calibri"/>
        </w:rPr>
        <w:t xml:space="preserve"> </w:t>
      </w:r>
      <w:r>
        <w:rPr>
          <w:rFonts w:ascii="Calibri" w:hAnsi="Calibri" w:cs="Calibri"/>
        </w:rPr>
        <w:t xml:space="preserve">are </w:t>
      </w:r>
      <w:r w:rsidRPr="00321649">
        <w:rPr>
          <w:rFonts w:ascii="Calibri" w:hAnsi="Calibri" w:cs="Calibri"/>
        </w:rPr>
        <w:t>presented in our 2022-23 annual report</w:t>
      </w:r>
      <w:r w:rsidR="00816F00">
        <w:t>.</w:t>
      </w:r>
    </w:p>
    <w:p w14:paraId="11D7174C" w14:textId="77777777" w:rsidR="003E5B7F" w:rsidRPr="0007750F" w:rsidRDefault="003E5B7F" w:rsidP="003E5B7F">
      <w:pPr>
        <w:pStyle w:val="BodyText1"/>
        <w:spacing w:before="0" w:after="0" w:line="240" w:lineRule="auto"/>
      </w:pPr>
    </w:p>
    <w:tbl>
      <w:tblPr>
        <w:tblStyle w:val="TableGrid"/>
        <w:tblW w:w="0" w:type="auto"/>
        <w:tblBorders>
          <w:top w:val="single" w:sz="12" w:space="0" w:color="0E374B" w:themeColor="accent1"/>
          <w:left w:val="none" w:sz="0" w:space="0" w:color="auto"/>
          <w:bottom w:val="none" w:sz="0" w:space="0" w:color="auto"/>
          <w:right w:val="none" w:sz="0" w:space="0" w:color="auto"/>
          <w:insideH w:val="single" w:sz="2" w:space="0" w:color="010101" w:themeColor="text1"/>
          <w:insideV w:val="none" w:sz="0" w:space="0" w:color="auto"/>
        </w:tblBorders>
        <w:tblLook w:val="04A0" w:firstRow="1" w:lastRow="0" w:firstColumn="1" w:lastColumn="0" w:noHBand="0" w:noVBand="1"/>
      </w:tblPr>
      <w:tblGrid>
        <w:gridCol w:w="1951"/>
        <w:gridCol w:w="7065"/>
      </w:tblGrid>
      <w:tr w:rsidR="007A5E71" w:rsidRPr="0007750F" w14:paraId="5B6350EF" w14:textId="77777777" w:rsidTr="008F6EB8">
        <w:tc>
          <w:tcPr>
            <w:tcW w:w="1951" w:type="dxa"/>
            <w:shd w:val="clear" w:color="auto" w:fill="003B5C"/>
          </w:tcPr>
          <w:p w14:paraId="6921ACBE" w14:textId="77777777" w:rsidR="007A5E71" w:rsidRPr="0037497D" w:rsidRDefault="007A5E71">
            <w:pPr>
              <w:pStyle w:val="Tablebodytext"/>
              <w:rPr>
                <w:b/>
                <w:bCs/>
                <w:color w:val="FFFFFF" w:themeColor="background1"/>
              </w:rPr>
            </w:pPr>
            <w:r w:rsidRPr="0037497D">
              <w:rPr>
                <w:b/>
                <w:bCs/>
                <w:color w:val="FFFFFF" w:themeColor="background1"/>
              </w:rPr>
              <w:t>Baseline year</w:t>
            </w:r>
          </w:p>
        </w:tc>
        <w:tc>
          <w:tcPr>
            <w:tcW w:w="7065" w:type="dxa"/>
            <w:shd w:val="clear" w:color="auto" w:fill="003B5C"/>
          </w:tcPr>
          <w:p w14:paraId="4BECED95" w14:textId="77777777" w:rsidR="007A5E71" w:rsidRPr="0037497D" w:rsidRDefault="007A5E71">
            <w:pPr>
              <w:pStyle w:val="Tablebodytext"/>
              <w:rPr>
                <w:b/>
                <w:bCs/>
                <w:color w:val="FFFFFF" w:themeColor="background1"/>
              </w:rPr>
            </w:pPr>
            <w:r w:rsidRPr="0037497D">
              <w:rPr>
                <w:b/>
                <w:bCs/>
                <w:color w:val="FFFFFF" w:themeColor="background1"/>
              </w:rPr>
              <w:t>Financial year 2022-23</w:t>
            </w:r>
          </w:p>
        </w:tc>
      </w:tr>
      <w:tr w:rsidR="007A5E71" w:rsidRPr="0007750F" w14:paraId="039D096A" w14:textId="77777777" w:rsidTr="008F6EB8">
        <w:tc>
          <w:tcPr>
            <w:tcW w:w="1951" w:type="dxa"/>
            <w:shd w:val="clear" w:color="auto" w:fill="DBDCDD"/>
          </w:tcPr>
          <w:p w14:paraId="0C24B892" w14:textId="77777777" w:rsidR="007A5E71" w:rsidRPr="0007750F" w:rsidRDefault="007A5E71">
            <w:pPr>
              <w:pStyle w:val="Tablebodytext"/>
            </w:pPr>
            <w:r>
              <w:t>Scope 1 emissions</w:t>
            </w:r>
          </w:p>
        </w:tc>
        <w:tc>
          <w:tcPr>
            <w:tcW w:w="7065" w:type="dxa"/>
            <w:shd w:val="clear" w:color="auto" w:fill="auto"/>
          </w:tcPr>
          <w:p w14:paraId="77C9610C" w14:textId="1F136DE7" w:rsidR="007A5E71" w:rsidRPr="003C770B" w:rsidRDefault="003C770B">
            <w:pPr>
              <w:pStyle w:val="Tablebodytext"/>
            </w:pPr>
            <w:r w:rsidRPr="00C02A37">
              <w:t>6</w:t>
            </w:r>
            <w:r w:rsidR="007A5E71" w:rsidRPr="003C770B">
              <w:t>,</w:t>
            </w:r>
            <w:r w:rsidRPr="00C02A37">
              <w:t>008</w:t>
            </w:r>
            <w:r w:rsidR="007A5E71" w:rsidRPr="003C770B">
              <w:t xml:space="preserve"> </w:t>
            </w:r>
            <w:r w:rsidRPr="00C02A37">
              <w:t xml:space="preserve">kg </w:t>
            </w:r>
            <w:r w:rsidR="007A5E71" w:rsidRPr="003C770B">
              <w:t>CO</w:t>
            </w:r>
            <w:r w:rsidR="007A5E71" w:rsidRPr="003C770B">
              <w:rPr>
                <w:vertAlign w:val="subscript"/>
              </w:rPr>
              <w:t>2</w:t>
            </w:r>
            <w:r w:rsidR="007A5E71" w:rsidRPr="003C770B">
              <w:t>e</w:t>
            </w:r>
          </w:p>
        </w:tc>
      </w:tr>
      <w:tr w:rsidR="007A5E71" w:rsidRPr="0007750F" w14:paraId="2114B4E6" w14:textId="77777777" w:rsidTr="00E30AF3">
        <w:tc>
          <w:tcPr>
            <w:tcW w:w="1951" w:type="dxa"/>
            <w:tcBorders>
              <w:bottom w:val="single" w:sz="2" w:space="0" w:color="010101" w:themeColor="text1"/>
            </w:tcBorders>
            <w:shd w:val="clear" w:color="auto" w:fill="DBDCDD"/>
          </w:tcPr>
          <w:p w14:paraId="3A7EEB52" w14:textId="77777777" w:rsidR="007A5E71" w:rsidRPr="0007750F" w:rsidRDefault="007A5E71">
            <w:pPr>
              <w:pStyle w:val="Tablebodytext"/>
            </w:pPr>
            <w:r>
              <w:t>Scope 2 emissions</w:t>
            </w:r>
          </w:p>
        </w:tc>
        <w:tc>
          <w:tcPr>
            <w:tcW w:w="7065" w:type="dxa"/>
            <w:tcBorders>
              <w:bottom w:val="single" w:sz="2" w:space="0" w:color="010101" w:themeColor="text1"/>
            </w:tcBorders>
            <w:shd w:val="clear" w:color="auto" w:fill="auto"/>
          </w:tcPr>
          <w:p w14:paraId="32166B07" w14:textId="15B7EC14" w:rsidR="007A5E71" w:rsidRPr="003C770B" w:rsidRDefault="003C770B">
            <w:pPr>
              <w:pStyle w:val="Tablebodytext"/>
            </w:pPr>
            <w:r w:rsidRPr="00C02A37">
              <w:t xml:space="preserve">405,916 kg </w:t>
            </w:r>
            <w:r w:rsidR="007A5E71" w:rsidRPr="003C770B">
              <w:t>CO</w:t>
            </w:r>
            <w:r w:rsidR="007A5E71" w:rsidRPr="003C770B">
              <w:rPr>
                <w:vertAlign w:val="subscript"/>
              </w:rPr>
              <w:t>2</w:t>
            </w:r>
            <w:r w:rsidR="007A5E71" w:rsidRPr="003C770B">
              <w:t>e</w:t>
            </w:r>
          </w:p>
        </w:tc>
      </w:tr>
      <w:tr w:rsidR="007A5E71" w:rsidRPr="0007750F" w14:paraId="27FAB9E8" w14:textId="77777777" w:rsidTr="00E30AF3">
        <w:tc>
          <w:tcPr>
            <w:tcW w:w="1951" w:type="dxa"/>
            <w:tcBorders>
              <w:top w:val="single" w:sz="2" w:space="0" w:color="010101" w:themeColor="text1"/>
              <w:bottom w:val="single" w:sz="4" w:space="0" w:color="auto"/>
            </w:tcBorders>
            <w:shd w:val="clear" w:color="auto" w:fill="DBDCDD"/>
          </w:tcPr>
          <w:p w14:paraId="326CAEBA" w14:textId="77777777" w:rsidR="007A5E71" w:rsidRPr="00C06A22" w:rsidRDefault="007A5E71">
            <w:pPr>
              <w:pStyle w:val="Tablebodytext"/>
            </w:pPr>
            <w:r w:rsidRPr="00C06A22">
              <w:t xml:space="preserve">Total </w:t>
            </w:r>
            <w:r>
              <w:t>e</w:t>
            </w:r>
            <w:r w:rsidRPr="00C06A22">
              <w:t>missions</w:t>
            </w:r>
          </w:p>
        </w:tc>
        <w:tc>
          <w:tcPr>
            <w:tcW w:w="7065" w:type="dxa"/>
            <w:tcBorders>
              <w:top w:val="single" w:sz="2" w:space="0" w:color="010101" w:themeColor="text1"/>
              <w:bottom w:val="single" w:sz="4" w:space="0" w:color="auto"/>
            </w:tcBorders>
            <w:shd w:val="clear" w:color="auto" w:fill="auto"/>
          </w:tcPr>
          <w:p w14:paraId="0E77E0E0" w14:textId="495067D1" w:rsidR="007A5E71" w:rsidRPr="00C02A37" w:rsidRDefault="003C770B">
            <w:pPr>
              <w:pStyle w:val="Tablebodytext"/>
            </w:pPr>
            <w:r w:rsidRPr="00C02A37">
              <w:t>411</w:t>
            </w:r>
            <w:r w:rsidR="007A5E71" w:rsidRPr="003C770B">
              <w:t>,</w:t>
            </w:r>
            <w:r w:rsidRPr="00C02A37">
              <w:t>924</w:t>
            </w:r>
            <w:r w:rsidR="007A5E71" w:rsidRPr="003C770B">
              <w:t xml:space="preserve"> </w:t>
            </w:r>
            <w:r w:rsidRPr="00C02A37">
              <w:t xml:space="preserve">kg </w:t>
            </w:r>
            <w:r w:rsidR="007A5E71" w:rsidRPr="003C770B">
              <w:t>CO</w:t>
            </w:r>
            <w:r w:rsidR="007A5E71" w:rsidRPr="003C770B">
              <w:rPr>
                <w:vertAlign w:val="subscript"/>
              </w:rPr>
              <w:t>2</w:t>
            </w:r>
            <w:r w:rsidR="007A5E71" w:rsidRPr="003C770B">
              <w:t>e</w:t>
            </w:r>
          </w:p>
        </w:tc>
      </w:tr>
    </w:tbl>
    <w:p w14:paraId="11452951" w14:textId="77777777" w:rsidR="007A5E71" w:rsidRPr="0081481D" w:rsidRDefault="007A5E71" w:rsidP="00AC290E">
      <w:pPr>
        <w:pStyle w:val="Heading2"/>
      </w:pPr>
      <w:bookmarkStart w:id="44" w:name="_Toc174104062"/>
      <w:bookmarkStart w:id="45" w:name="_Toc175740185"/>
      <w:bookmarkStart w:id="46" w:name="_Toc175741363"/>
      <w:bookmarkStart w:id="47" w:name="_Toc175822556"/>
      <w:bookmarkStart w:id="48" w:name="_Toc175832347"/>
      <w:bookmarkStart w:id="49" w:name="_Toc175832395"/>
      <w:bookmarkStart w:id="50" w:name="_Toc175908678"/>
      <w:r w:rsidRPr="0081481D">
        <w:t>Engagement</w:t>
      </w:r>
      <w:bookmarkEnd w:id="44"/>
      <w:bookmarkEnd w:id="45"/>
      <w:bookmarkEnd w:id="46"/>
      <w:bookmarkEnd w:id="47"/>
      <w:bookmarkEnd w:id="48"/>
      <w:bookmarkEnd w:id="49"/>
      <w:bookmarkEnd w:id="50"/>
    </w:p>
    <w:p w14:paraId="254ECCD6" w14:textId="3D74EDD6" w:rsidR="007A5E71" w:rsidRDefault="007A5E71" w:rsidP="007A5E71">
      <w:pPr>
        <w:pStyle w:val="BodyText1"/>
      </w:pPr>
      <w:r>
        <w:t xml:space="preserve">In the development and implementation of this plan, </w:t>
      </w:r>
      <w:r w:rsidR="00AD53D3">
        <w:t xml:space="preserve">the </w:t>
      </w:r>
      <w:r w:rsidR="00B73F9D">
        <w:t>CDPP</w:t>
      </w:r>
      <w:r w:rsidRPr="0007750F">
        <w:t xml:space="preserve"> has</w:t>
      </w:r>
      <w:r w:rsidR="00AD53D3">
        <w:t>,</w:t>
      </w:r>
      <w:r w:rsidRPr="0007750F">
        <w:t xml:space="preserve"> </w:t>
      </w:r>
      <w:r>
        <w:t>and will</w:t>
      </w:r>
      <w:r w:rsidR="00AD53D3">
        <w:t xml:space="preserve">, </w:t>
      </w:r>
      <w:r>
        <w:t>work with:</w:t>
      </w:r>
    </w:p>
    <w:p w14:paraId="7B0979CA" w14:textId="1B2F0BA9" w:rsidR="001E5ABF" w:rsidRPr="00C324DF" w:rsidRDefault="001E5ABF"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Property Services, Finance Branch – CDPP</w:t>
      </w:r>
    </w:p>
    <w:p w14:paraId="3F920D25" w14:textId="6F18C1D9" w:rsidR="001E5ABF" w:rsidRPr="00C324DF" w:rsidRDefault="001E5ABF"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Property and Fleet service providers</w:t>
      </w:r>
    </w:p>
    <w:p w14:paraId="2483B4B7" w14:textId="75A94D5A" w:rsidR="007A5E71" w:rsidRPr="00C324DF" w:rsidRDefault="0081481D"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T</w:t>
      </w:r>
      <w:r w:rsidR="00AD53D3" w:rsidRPr="00C324DF">
        <w:rPr>
          <w:rFonts w:ascii="Calibri" w:hAnsi="Calibri" w:cs="Calibri"/>
          <w:color w:val="111C2C"/>
        </w:rPr>
        <w:t>he C</w:t>
      </w:r>
      <w:r w:rsidR="007A5E71" w:rsidRPr="00C324DF">
        <w:rPr>
          <w:rFonts w:ascii="Calibri" w:hAnsi="Calibri" w:cs="Calibri"/>
          <w:color w:val="111C2C"/>
        </w:rPr>
        <w:t>limate Action in Government Operations</w:t>
      </w:r>
      <w:r w:rsidR="00AD53D3" w:rsidRPr="00C324DF">
        <w:rPr>
          <w:rFonts w:ascii="Calibri" w:hAnsi="Calibri" w:cs="Calibri"/>
          <w:color w:val="111C2C"/>
        </w:rPr>
        <w:t xml:space="preserve"> team at Department of Finance</w:t>
      </w:r>
      <w:r w:rsidR="007A5E71" w:rsidRPr="00C324DF">
        <w:rPr>
          <w:rFonts w:ascii="Calibri" w:hAnsi="Calibri" w:cs="Calibri"/>
          <w:color w:val="111C2C"/>
        </w:rPr>
        <w:t xml:space="preserve"> – to ensure this plan aligns with the Net Zero in Government Operations Strategy and the Commonwealth Climate Disclosure requirements.</w:t>
      </w:r>
    </w:p>
    <w:p w14:paraId="6BB888FA" w14:textId="77777777" w:rsidR="007A5E71" w:rsidRPr="0081481D" w:rsidRDefault="007A5E71" w:rsidP="00AC290E">
      <w:pPr>
        <w:pStyle w:val="Heading2"/>
      </w:pPr>
      <w:bookmarkStart w:id="51" w:name="_Toc174104063"/>
      <w:bookmarkStart w:id="52" w:name="_Toc175740186"/>
      <w:bookmarkStart w:id="53" w:name="_Toc175741364"/>
      <w:bookmarkStart w:id="54" w:name="_Toc175822557"/>
      <w:bookmarkStart w:id="55" w:name="_Toc175832348"/>
      <w:bookmarkStart w:id="56" w:name="_Toc175832396"/>
      <w:bookmarkStart w:id="57" w:name="_Toc175908679"/>
      <w:r w:rsidRPr="0081481D">
        <w:t>Emissions reduction targets</w:t>
      </w:r>
      <w:bookmarkEnd w:id="51"/>
      <w:bookmarkEnd w:id="52"/>
      <w:bookmarkEnd w:id="53"/>
      <w:bookmarkEnd w:id="54"/>
      <w:bookmarkEnd w:id="55"/>
      <w:bookmarkEnd w:id="56"/>
      <w:bookmarkEnd w:id="57"/>
    </w:p>
    <w:p w14:paraId="216BC284" w14:textId="5A73B305" w:rsidR="007A5E71" w:rsidRPr="0007750F" w:rsidRDefault="00AD53D3" w:rsidP="000558CB">
      <w:pPr>
        <w:pStyle w:val="BodyText1"/>
        <w:spacing w:before="0" w:after="0" w:line="240" w:lineRule="auto"/>
      </w:pPr>
      <w:r>
        <w:t xml:space="preserve">The </w:t>
      </w:r>
      <w:r w:rsidR="00B70FEA">
        <w:t>CDPP</w:t>
      </w:r>
      <w:r w:rsidR="007A5E71">
        <w:t xml:space="preserve"> is following the </w:t>
      </w:r>
      <w:r w:rsidR="007A5E71" w:rsidRPr="00156764">
        <w:t xml:space="preserve">APS Net </w:t>
      </w:r>
      <w:r w:rsidR="007A5E71" w:rsidRPr="00685B50">
        <w:t xml:space="preserve">Zero 2030 target where possible, as per the Net Zero in Government Operations Strategy. The target covers the entirety of our entity’s operations within Australia and its territories for scope 1 and scope 2 emissions, as described in the </w:t>
      </w:r>
      <w:r>
        <w:t>s</w:t>
      </w:r>
      <w:r w:rsidR="007A5E71" w:rsidRPr="00685B50">
        <w:t>trategy.</w:t>
      </w:r>
      <w:r w:rsidR="007A5E71" w:rsidRPr="00156764">
        <w:t xml:space="preserve"> </w:t>
      </w:r>
    </w:p>
    <w:p w14:paraId="3E11FC2C" w14:textId="77777777" w:rsidR="007A5E71" w:rsidRPr="0081481D" w:rsidRDefault="007A5E71" w:rsidP="00AC290E">
      <w:pPr>
        <w:pStyle w:val="Heading2"/>
      </w:pPr>
      <w:bookmarkStart w:id="58" w:name="_Toc174104064"/>
      <w:bookmarkStart w:id="59" w:name="_Toc175740187"/>
      <w:bookmarkStart w:id="60" w:name="_Toc175741365"/>
      <w:bookmarkStart w:id="61" w:name="_Toc175822558"/>
      <w:bookmarkStart w:id="62" w:name="_Toc175832349"/>
      <w:bookmarkStart w:id="63" w:name="_Toc175832397"/>
      <w:bookmarkStart w:id="64" w:name="_Toc175908680"/>
      <w:r w:rsidRPr="0081481D">
        <w:t>Priorities and actions</w:t>
      </w:r>
      <w:bookmarkEnd w:id="58"/>
      <w:bookmarkEnd w:id="59"/>
      <w:bookmarkEnd w:id="60"/>
      <w:bookmarkEnd w:id="61"/>
      <w:bookmarkEnd w:id="62"/>
      <w:bookmarkEnd w:id="63"/>
      <w:bookmarkEnd w:id="64"/>
    </w:p>
    <w:p w14:paraId="0CD9291D" w14:textId="3265ABD9" w:rsidR="0011169B" w:rsidRPr="005200CC" w:rsidRDefault="00AD53D3" w:rsidP="00C324DF">
      <w:pPr>
        <w:pStyle w:val="BodyText1"/>
        <w:spacing w:before="0" w:line="240" w:lineRule="auto"/>
        <w:rPr>
          <w:rFonts w:ascii="Calibri" w:hAnsi="Calibri" w:cs="Calibri"/>
        </w:rPr>
      </w:pPr>
      <w:r w:rsidRPr="006E3ED7">
        <w:t xml:space="preserve">For the </w:t>
      </w:r>
      <w:r w:rsidR="00B70FEA">
        <w:t>CDPP</w:t>
      </w:r>
      <w:r w:rsidR="007A5E71" w:rsidRPr="006E3ED7">
        <w:t xml:space="preserve"> to contribute to </w:t>
      </w:r>
      <w:r w:rsidR="007D2C90">
        <w:t xml:space="preserve">achieving </w:t>
      </w:r>
      <w:r w:rsidR="007A5E71" w:rsidRPr="006E3ED7">
        <w:t>the APS Net Zero 2030 target, action on existing emissions reduction measures and the introduction of further or new measures is required.</w:t>
      </w:r>
      <w:r w:rsidR="00FF3915">
        <w:t xml:space="preserve"> </w:t>
      </w:r>
      <w:r w:rsidR="0011169B" w:rsidRPr="00FF3915">
        <w:rPr>
          <w:rFonts w:ascii="Calibri" w:hAnsi="Calibri" w:cs="Calibri"/>
        </w:rPr>
        <w:t>The</w:t>
      </w:r>
      <w:r w:rsidR="00FF3915" w:rsidRPr="00FF3915">
        <w:rPr>
          <w:rFonts w:ascii="Calibri" w:hAnsi="Calibri" w:cs="Calibri"/>
        </w:rPr>
        <w:t xml:space="preserve"> </w:t>
      </w:r>
      <w:r w:rsidR="0011169B" w:rsidRPr="00FF3915">
        <w:rPr>
          <w:rFonts w:ascii="Calibri" w:hAnsi="Calibri" w:cs="Calibri"/>
        </w:rPr>
        <w:t>action</w:t>
      </w:r>
      <w:r w:rsidR="00FF3915" w:rsidRPr="00FF3915">
        <w:rPr>
          <w:rFonts w:ascii="Calibri" w:hAnsi="Calibri" w:cs="Calibri"/>
        </w:rPr>
        <w:t xml:space="preserve">s </w:t>
      </w:r>
      <w:r w:rsidR="0011169B" w:rsidRPr="00FF3915">
        <w:rPr>
          <w:rFonts w:ascii="Calibri" w:hAnsi="Calibri" w:cs="Calibri"/>
        </w:rPr>
        <w:t xml:space="preserve">are </w:t>
      </w:r>
      <w:r w:rsidR="0011169B" w:rsidRPr="005200CC">
        <w:rPr>
          <w:rFonts w:ascii="Calibri" w:hAnsi="Calibri" w:cs="Calibri"/>
        </w:rPr>
        <w:t>summarised in the following points</w:t>
      </w:r>
      <w:r w:rsidR="00FF3915" w:rsidRPr="005200CC">
        <w:rPr>
          <w:rFonts w:ascii="Calibri" w:hAnsi="Calibri" w:cs="Calibri"/>
        </w:rPr>
        <w:t>:</w:t>
      </w:r>
    </w:p>
    <w:p w14:paraId="020AF955" w14:textId="1229B681" w:rsidR="0011169B" w:rsidRPr="005200CC" w:rsidRDefault="0011169B"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Improving building standards in line with the relevant National Australian Built Environment Rating Scheme (NABERS) rates as required by the Net Zero in Government Operations Strategy</w:t>
      </w:r>
      <w:r w:rsidR="0081481D" w:rsidRPr="005200CC">
        <w:rPr>
          <w:rFonts w:ascii="Calibri" w:hAnsi="Calibri" w:cs="Calibri"/>
        </w:rPr>
        <w:t>.</w:t>
      </w:r>
      <w:r w:rsidRPr="005200CC">
        <w:rPr>
          <w:rFonts w:ascii="Calibri" w:hAnsi="Calibri" w:cs="Calibri"/>
        </w:rPr>
        <w:t xml:space="preserve"> </w:t>
      </w:r>
    </w:p>
    <w:p w14:paraId="7A0BE367" w14:textId="654B21C4" w:rsidR="0011169B" w:rsidRPr="005200CC" w:rsidRDefault="00FB09AA"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Reducing emissions by p</w:t>
      </w:r>
      <w:r w:rsidR="0011169B" w:rsidRPr="005200CC">
        <w:rPr>
          <w:rFonts w:ascii="Calibri" w:hAnsi="Calibri" w:cs="Calibri"/>
        </w:rPr>
        <w:t xml:space="preserve">rocuring renewable electricity through the </w:t>
      </w:r>
      <w:r w:rsidR="009E72F8" w:rsidRPr="005200CC">
        <w:rPr>
          <w:rFonts w:ascii="Calibri" w:hAnsi="Calibri" w:cs="Calibri"/>
        </w:rPr>
        <w:t xml:space="preserve">Whole </w:t>
      </w:r>
      <w:r w:rsidR="0011169B" w:rsidRPr="005200CC">
        <w:rPr>
          <w:rFonts w:ascii="Calibri" w:hAnsi="Calibri" w:cs="Calibri"/>
        </w:rPr>
        <w:t xml:space="preserve">of Australian Government </w:t>
      </w:r>
      <w:r w:rsidR="009E72F8" w:rsidRPr="005200CC">
        <w:rPr>
          <w:rFonts w:ascii="Calibri" w:hAnsi="Calibri" w:cs="Calibri"/>
        </w:rPr>
        <w:t xml:space="preserve">renewable </w:t>
      </w:r>
      <w:r w:rsidR="0011169B" w:rsidRPr="005200CC">
        <w:rPr>
          <w:rFonts w:ascii="Calibri" w:hAnsi="Calibri" w:cs="Calibri"/>
        </w:rPr>
        <w:t>electricity arrangement</w:t>
      </w:r>
      <w:r w:rsidR="0081481D" w:rsidRPr="005200CC">
        <w:rPr>
          <w:rFonts w:ascii="Calibri" w:hAnsi="Calibri" w:cs="Calibri"/>
        </w:rPr>
        <w:t>.</w:t>
      </w:r>
      <w:r w:rsidR="0011169B" w:rsidRPr="005200CC">
        <w:rPr>
          <w:rFonts w:ascii="Calibri" w:hAnsi="Calibri" w:cs="Calibri"/>
        </w:rPr>
        <w:t xml:space="preserve"> </w:t>
      </w:r>
    </w:p>
    <w:p w14:paraId="243E263F" w14:textId="0E5B512B" w:rsidR="0011169B" w:rsidRPr="005200CC" w:rsidRDefault="00FB09AA"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U</w:t>
      </w:r>
      <w:r w:rsidR="0011169B" w:rsidRPr="005200CC">
        <w:rPr>
          <w:rFonts w:ascii="Calibri" w:hAnsi="Calibri" w:cs="Calibri"/>
        </w:rPr>
        <w:t xml:space="preserve">se </w:t>
      </w:r>
      <w:r w:rsidRPr="005200CC">
        <w:rPr>
          <w:rFonts w:ascii="Calibri" w:hAnsi="Calibri" w:cs="Calibri"/>
        </w:rPr>
        <w:t xml:space="preserve">of </w:t>
      </w:r>
      <w:r w:rsidR="0011169B" w:rsidRPr="005200CC">
        <w:rPr>
          <w:rFonts w:ascii="Calibri" w:hAnsi="Calibri" w:cs="Calibri"/>
        </w:rPr>
        <w:t>low emission vehicles across the vehicle fleet</w:t>
      </w:r>
      <w:r w:rsidR="0081481D" w:rsidRPr="005200CC">
        <w:rPr>
          <w:rFonts w:ascii="Calibri" w:hAnsi="Calibri" w:cs="Calibri"/>
        </w:rPr>
        <w:t>.</w:t>
      </w:r>
    </w:p>
    <w:p w14:paraId="373AF26D" w14:textId="6045A6DA" w:rsidR="00B228B9" w:rsidRPr="005200CC" w:rsidRDefault="00081678"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Engaging in sustainable procurement activities</w:t>
      </w:r>
      <w:r w:rsidR="0081481D" w:rsidRPr="005200CC">
        <w:rPr>
          <w:rFonts w:ascii="Calibri" w:hAnsi="Calibri" w:cs="Calibri"/>
        </w:rPr>
        <w:t>.</w:t>
      </w:r>
    </w:p>
    <w:p w14:paraId="2DE0E763" w14:textId="5F4EEA10" w:rsidR="00B228B9" w:rsidRPr="005200CC" w:rsidRDefault="00FB09AA"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Reduc</w:t>
      </w:r>
      <w:r w:rsidR="0081481D" w:rsidRPr="005200CC">
        <w:rPr>
          <w:rFonts w:ascii="Calibri" w:hAnsi="Calibri" w:cs="Calibri"/>
        </w:rPr>
        <w:t>ing</w:t>
      </w:r>
      <w:r w:rsidRPr="005200CC">
        <w:rPr>
          <w:rFonts w:ascii="Calibri" w:hAnsi="Calibri" w:cs="Calibri"/>
        </w:rPr>
        <w:t xml:space="preserve"> </w:t>
      </w:r>
      <w:r w:rsidR="009E72F8" w:rsidRPr="005200CC">
        <w:rPr>
          <w:rFonts w:ascii="Calibri" w:hAnsi="Calibri" w:cs="Calibri"/>
        </w:rPr>
        <w:t>emissions</w:t>
      </w:r>
      <w:r w:rsidRPr="005200CC">
        <w:rPr>
          <w:rFonts w:ascii="Calibri" w:hAnsi="Calibri" w:cs="Calibri"/>
        </w:rPr>
        <w:t xml:space="preserve"> through informed decision making when undertaking necessary travel</w:t>
      </w:r>
      <w:r w:rsidR="0081481D" w:rsidRPr="005200CC">
        <w:rPr>
          <w:rFonts w:ascii="Calibri" w:hAnsi="Calibri" w:cs="Calibri"/>
        </w:rPr>
        <w:t>.</w:t>
      </w:r>
    </w:p>
    <w:p w14:paraId="6AC97B62" w14:textId="533048F9" w:rsidR="00B228B9" w:rsidRPr="005200CC" w:rsidRDefault="0081481D"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Reduc</w:t>
      </w:r>
      <w:r w:rsidR="006F1FF7" w:rsidRPr="005200CC">
        <w:rPr>
          <w:rFonts w:ascii="Calibri" w:hAnsi="Calibri" w:cs="Calibri"/>
        </w:rPr>
        <w:t>ing</w:t>
      </w:r>
      <w:r w:rsidR="00FB09AA" w:rsidRPr="005200CC">
        <w:rPr>
          <w:rFonts w:ascii="Calibri" w:hAnsi="Calibri" w:cs="Calibri"/>
        </w:rPr>
        <w:t xml:space="preserve"> the use of new materials, making materials durable, repairable and safe, and collecting, reusing and recycling materials</w:t>
      </w:r>
      <w:r w:rsidRPr="005200CC">
        <w:rPr>
          <w:rFonts w:ascii="Calibri" w:hAnsi="Calibri" w:cs="Calibri"/>
        </w:rPr>
        <w:t>.</w:t>
      </w:r>
    </w:p>
    <w:p w14:paraId="1181BF62" w14:textId="77777777" w:rsidR="004C23AF" w:rsidRDefault="00FF3915" w:rsidP="00C324DF">
      <w:pPr>
        <w:pStyle w:val="BodyText1"/>
        <w:spacing w:after="0" w:line="240" w:lineRule="auto"/>
      </w:pPr>
      <w:r w:rsidRPr="00C324DF">
        <w:lastRenderedPageBreak/>
        <w:t>To support a pathway to net zero, th</w:t>
      </w:r>
      <w:r w:rsidR="0010075A">
        <w:t>is</w:t>
      </w:r>
      <w:r w:rsidRPr="00C324DF">
        <w:t xml:space="preserve"> plan divides emissions related activities into seven categories</w:t>
      </w:r>
      <w:r w:rsidR="0087669F">
        <w:t xml:space="preserve">, </w:t>
      </w:r>
      <w:r w:rsidRPr="00C324DF">
        <w:t>with further detail provided in the following Implementation Plan.</w:t>
      </w:r>
    </w:p>
    <w:p w14:paraId="15403057" w14:textId="2AF86ACE" w:rsidR="00324F6C" w:rsidRPr="0081481D" w:rsidRDefault="00324F6C" w:rsidP="00AC290E">
      <w:pPr>
        <w:pStyle w:val="Heading1"/>
      </w:pPr>
      <w:bookmarkStart w:id="65" w:name="_Toc175908681"/>
      <w:r>
        <w:t>Implementation Plan</w:t>
      </w:r>
      <w:bookmarkEnd w:id="65"/>
    </w:p>
    <w:p w14:paraId="6B49C8E3" w14:textId="77777777" w:rsidR="00001EEA" w:rsidRPr="00AC290E" w:rsidRDefault="00001EEA" w:rsidP="00AC290E">
      <w:pPr>
        <w:pStyle w:val="Boxedheading1"/>
      </w:pPr>
      <w:bookmarkStart w:id="66" w:name="_Toc175835642"/>
      <w:bookmarkStart w:id="67" w:name="_Toc175837388"/>
      <w:bookmarkStart w:id="68" w:name="_Toc175908682"/>
      <w:r w:rsidRPr="00AC290E">
        <w:t>Net Zero Buildings</w:t>
      </w:r>
      <w:bookmarkEnd w:id="66"/>
      <w:bookmarkEnd w:id="67"/>
      <w:bookmarkEnd w:id="68"/>
    </w:p>
    <w:p w14:paraId="08AC9571" w14:textId="42852C2D" w:rsidR="00001EEA" w:rsidRPr="003E5B7F" w:rsidRDefault="00001EEA" w:rsidP="003E5B7F">
      <w:pPr>
        <w:pStyle w:val="BodyText1"/>
        <w:spacing w:before="0" w:after="0" w:line="240" w:lineRule="auto"/>
      </w:pPr>
      <w:r w:rsidRPr="003E5B7F">
        <w:t>Benchmarking energy efficiency performance compares the CDPP’s base building and tenancy energy consumption and efficiency of office space against established NABERS (National Australian Built Environment Rating System) ratings. It helps u</w:t>
      </w:r>
      <w:r w:rsidR="003E5B7F" w:rsidRPr="003E5B7F">
        <w:t>s</w:t>
      </w:r>
      <w:r w:rsidRPr="003E5B7F">
        <w:t xml:space="preserve"> understand our performance and areas for improvement.</w:t>
      </w:r>
    </w:p>
    <w:p w14:paraId="2349FFC8" w14:textId="77777777" w:rsidR="000558CB" w:rsidRDefault="000558CB" w:rsidP="003E5B7F">
      <w:pPr>
        <w:pStyle w:val="BodyText1"/>
        <w:spacing w:before="0" w:after="0" w:line="240" w:lineRule="auto"/>
      </w:pPr>
    </w:p>
    <w:p w14:paraId="5FEDD5F5" w14:textId="51396E51" w:rsidR="00001EEA" w:rsidRDefault="00001EEA" w:rsidP="003E5B7F">
      <w:pPr>
        <w:pStyle w:val="BodyText1"/>
        <w:spacing w:before="0" w:after="0" w:line="240" w:lineRule="auto"/>
      </w:pPr>
      <w:r w:rsidRPr="003E5B7F">
        <w:t xml:space="preserve">It is important to note the </w:t>
      </w:r>
      <w:r w:rsidR="00B73F9D" w:rsidRPr="003E5B7F">
        <w:t>CDPP</w:t>
      </w:r>
      <w:r w:rsidRPr="003E5B7F">
        <w:t xml:space="preserve"> has limited control over base buildings as our office spaces are leased, which restricts the direct actions we can take. However, we are committed to ongoing liaison with our landlords about energy-efficient practices and enhancing building performance.</w:t>
      </w:r>
    </w:p>
    <w:p w14:paraId="2547527F" w14:textId="77777777" w:rsidR="000558CB" w:rsidRPr="003E5B7F" w:rsidRDefault="000558CB" w:rsidP="003E5B7F">
      <w:pPr>
        <w:pStyle w:val="BodyText1"/>
        <w:spacing w:before="0" w:after="0" w:line="240" w:lineRule="auto"/>
      </w:pPr>
    </w:p>
    <w:p w14:paraId="520F793A" w14:textId="7CEA98C8" w:rsidR="00001EEA" w:rsidRDefault="00001EEA" w:rsidP="003E5B7F">
      <w:pPr>
        <w:pStyle w:val="BodyText1"/>
        <w:spacing w:before="0" w:after="0" w:line="240" w:lineRule="auto"/>
      </w:pPr>
      <w:r w:rsidRPr="003E5B7F">
        <w:t>The CDPP is a small agency of approximately 450 people, with leased office space in all capital cities as well as two sub-offices in Queensland.</w:t>
      </w:r>
    </w:p>
    <w:p w14:paraId="4B492C68" w14:textId="77777777" w:rsidR="000558CB" w:rsidRPr="003E5B7F" w:rsidRDefault="000558CB" w:rsidP="003E5B7F">
      <w:pPr>
        <w:pStyle w:val="BodyText1"/>
        <w:spacing w:before="0" w:after="0" w:line="240" w:lineRule="auto"/>
      </w:pPr>
    </w:p>
    <w:p w14:paraId="60CF545E" w14:textId="49103EBA" w:rsidR="00C06D72" w:rsidRPr="003E5B7F" w:rsidRDefault="00A1517A" w:rsidP="003E5B7F">
      <w:pPr>
        <w:pStyle w:val="BodyText1"/>
        <w:spacing w:before="0" w:after="0" w:line="240" w:lineRule="auto"/>
      </w:pPr>
      <w:r w:rsidRPr="003E5B7F">
        <w:t xml:space="preserve">The CDPP leases </w:t>
      </w:r>
      <w:r w:rsidR="003E5B7F" w:rsidRPr="003E5B7F">
        <w:t>four</w:t>
      </w:r>
      <w:r w:rsidRPr="003E5B7F">
        <w:t xml:space="preserve"> </w:t>
      </w:r>
      <w:r w:rsidR="00E3477A">
        <w:t xml:space="preserve">office </w:t>
      </w:r>
      <w:r w:rsidRPr="003E5B7F">
        <w:t xml:space="preserve">spaces with a net lettable area greater than 1,000 square metres, located in Brisbane, Sydney, </w:t>
      </w:r>
      <w:proofErr w:type="gramStart"/>
      <w:r w:rsidRPr="003E5B7F">
        <w:t>Melbourne</w:t>
      </w:r>
      <w:proofErr w:type="gramEnd"/>
      <w:r w:rsidRPr="003E5B7F">
        <w:t xml:space="preserve"> and Canberra.</w:t>
      </w:r>
    </w:p>
    <w:p w14:paraId="54874612" w14:textId="3A4847A4" w:rsidR="00001EEA" w:rsidRPr="00AC290E" w:rsidRDefault="00EF0DE4" w:rsidP="00AC290E">
      <w:pPr>
        <w:pStyle w:val="Heading30"/>
      </w:pPr>
      <w:bookmarkStart w:id="69" w:name="_Toc175740189"/>
      <w:bookmarkStart w:id="70" w:name="_Toc175741367"/>
      <w:bookmarkStart w:id="71" w:name="_Toc175822560"/>
      <w:r w:rsidRPr="00AC290E">
        <w:t>A</w:t>
      </w:r>
      <w:r w:rsidR="00BA7257" w:rsidRPr="00AC290E">
        <w:t>ction</w:t>
      </w:r>
      <w:bookmarkEnd w:id="69"/>
      <w:bookmarkEnd w:id="70"/>
      <w:bookmarkEnd w:id="71"/>
    </w:p>
    <w:p w14:paraId="0865CE6F" w14:textId="1CD99F64" w:rsidR="00EF0DE4" w:rsidRPr="00C324DF" w:rsidRDefault="00EF0DE4"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For non-rated tenancies, liaise with the Property Service Provider to conduct indicative NABERS Energy ratings for all leases of 1,000 square metres or more of net lettable area by 30 June 2025</w:t>
      </w:r>
      <w:r w:rsidR="006F1FF7" w:rsidRPr="00C324DF">
        <w:rPr>
          <w:rFonts w:ascii="Calibri" w:hAnsi="Calibri" w:cs="Calibri"/>
          <w:color w:val="111C2C"/>
        </w:rPr>
        <w:t>.</w:t>
      </w:r>
    </w:p>
    <w:p w14:paraId="3E6020C2" w14:textId="378DA30D" w:rsidR="00EF0DE4" w:rsidRPr="00C324DF" w:rsidRDefault="00EF0DE4"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 xml:space="preserve">Request the Property Service Provider to perform a new desktop assessment of tenancy NABERS Energy ratings following the completion of </w:t>
      </w:r>
      <w:r w:rsidR="00843F24" w:rsidRPr="00C324DF">
        <w:rPr>
          <w:rFonts w:ascii="Calibri" w:hAnsi="Calibri" w:cs="Calibri"/>
          <w:color w:val="111C2C"/>
        </w:rPr>
        <w:t xml:space="preserve">any </w:t>
      </w:r>
      <w:r w:rsidRPr="00C324DF">
        <w:rPr>
          <w:rFonts w:ascii="Calibri" w:hAnsi="Calibri" w:cs="Calibri"/>
          <w:color w:val="111C2C"/>
        </w:rPr>
        <w:t>energy reduction initiatives</w:t>
      </w:r>
      <w:r w:rsidR="006F1FF7" w:rsidRPr="00C324DF">
        <w:rPr>
          <w:rFonts w:ascii="Calibri" w:hAnsi="Calibri" w:cs="Calibri"/>
          <w:color w:val="111C2C"/>
        </w:rPr>
        <w:t>.</w:t>
      </w:r>
    </w:p>
    <w:p w14:paraId="67B69226" w14:textId="5145294C" w:rsidR="00A1517A" w:rsidRPr="00C324DF" w:rsidRDefault="00EF0DE4"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Ensure net zero building standards are a key consideration in discussions with landlords during lease negotiations</w:t>
      </w:r>
      <w:r w:rsidR="006F1FF7" w:rsidRPr="00C324DF">
        <w:rPr>
          <w:rFonts w:ascii="Calibri" w:hAnsi="Calibri" w:cs="Calibri"/>
          <w:color w:val="111C2C"/>
        </w:rPr>
        <w:t>.</w:t>
      </w:r>
    </w:p>
    <w:p w14:paraId="2DB69DD3" w14:textId="19FBB0B3" w:rsidR="00EF0DE4" w:rsidRPr="00BA7257" w:rsidRDefault="00EF0DE4" w:rsidP="00AC290E">
      <w:pPr>
        <w:pStyle w:val="Heading30"/>
      </w:pPr>
      <w:bookmarkStart w:id="72" w:name="_Toc175822561"/>
      <w:r w:rsidRPr="00BA7257">
        <w:t>Improving building standards for new leases</w:t>
      </w:r>
      <w:bookmarkEnd w:id="72"/>
    </w:p>
    <w:p w14:paraId="2DDE22F9" w14:textId="711B84F2" w:rsidR="006F1FF7" w:rsidRPr="000558CB" w:rsidRDefault="00EF0DE4" w:rsidP="000558CB">
      <w:pPr>
        <w:autoSpaceDE w:val="0"/>
        <w:autoSpaceDN w:val="0"/>
        <w:adjustRightInd w:val="0"/>
        <w:spacing w:before="0" w:after="0"/>
        <w:rPr>
          <w:rFonts w:ascii="Calibri" w:hAnsi="Calibri" w:cs="Calibri"/>
          <w:color w:val="111C2C"/>
        </w:rPr>
      </w:pPr>
      <w:r w:rsidRPr="00C02A37">
        <w:rPr>
          <w:rFonts w:ascii="Calibri" w:hAnsi="Calibri" w:cs="Calibri"/>
          <w:color w:val="111C2C"/>
        </w:rPr>
        <w:t xml:space="preserve">When </w:t>
      </w:r>
      <w:r w:rsidR="000558CB" w:rsidRPr="00C02A37">
        <w:rPr>
          <w:rFonts w:ascii="Calibri" w:hAnsi="Calibri" w:cs="Calibri"/>
          <w:color w:val="111C2C"/>
        </w:rPr>
        <w:t>entering</w:t>
      </w:r>
      <w:r w:rsidRPr="00C02A37">
        <w:rPr>
          <w:rFonts w:ascii="Calibri" w:hAnsi="Calibri" w:cs="Calibri"/>
          <w:color w:val="111C2C"/>
        </w:rPr>
        <w:t xml:space="preserve"> a</w:t>
      </w:r>
      <w:r w:rsidR="003C5797">
        <w:rPr>
          <w:rFonts w:ascii="Calibri" w:hAnsi="Calibri" w:cs="Calibri"/>
          <w:color w:val="111C2C"/>
        </w:rPr>
        <w:t xml:space="preserve"> </w:t>
      </w:r>
      <w:r w:rsidRPr="00C02A37">
        <w:rPr>
          <w:rFonts w:ascii="Calibri" w:hAnsi="Calibri" w:cs="Calibri"/>
          <w:color w:val="111C2C"/>
        </w:rPr>
        <w:t xml:space="preserve">new lease for an office space of 1,000 square metres or more of net lettable area, with a term of four years or more, the </w:t>
      </w:r>
      <w:r>
        <w:rPr>
          <w:rFonts w:ascii="Calibri" w:hAnsi="Calibri" w:cs="Calibri"/>
          <w:color w:val="111C2C"/>
        </w:rPr>
        <w:t>CDPP</w:t>
      </w:r>
      <w:r w:rsidRPr="00C02A37">
        <w:rPr>
          <w:rFonts w:ascii="Calibri" w:hAnsi="Calibri" w:cs="Calibri"/>
          <w:color w:val="111C2C"/>
        </w:rPr>
        <w:t xml:space="preserve"> will endeavour to find a suitable building that has and maintains 5.5 star or higher base building and tenancy NABERS Energy ratings. Adopting these building standards will contribute significantly to reducing the </w:t>
      </w:r>
      <w:r w:rsidR="00947FF4">
        <w:rPr>
          <w:rFonts w:ascii="Calibri" w:hAnsi="Calibri" w:cs="Calibri"/>
          <w:color w:val="111C2C"/>
        </w:rPr>
        <w:t>CDPP</w:t>
      </w:r>
      <w:r w:rsidRPr="00C02A37">
        <w:rPr>
          <w:rFonts w:ascii="Calibri" w:hAnsi="Calibri" w:cs="Calibri"/>
          <w:color w:val="111C2C"/>
        </w:rPr>
        <w:t>’s carbon footprint.</w:t>
      </w:r>
    </w:p>
    <w:p w14:paraId="44F0669A" w14:textId="25C60F5E" w:rsidR="00EF0DE4" w:rsidRPr="00C02A37" w:rsidRDefault="00F21428" w:rsidP="00AC290E">
      <w:pPr>
        <w:pStyle w:val="Heading30"/>
      </w:pPr>
      <w:bookmarkStart w:id="73" w:name="_Toc175740191"/>
      <w:bookmarkStart w:id="74" w:name="_Toc175741369"/>
      <w:bookmarkStart w:id="75" w:name="_Toc175822562"/>
      <w:r w:rsidRPr="00C02A37">
        <w:t>A</w:t>
      </w:r>
      <w:r w:rsidR="00BA7257">
        <w:t>ction</w:t>
      </w:r>
      <w:bookmarkEnd w:id="73"/>
      <w:bookmarkEnd w:id="74"/>
      <w:bookmarkEnd w:id="75"/>
    </w:p>
    <w:p w14:paraId="79924D22" w14:textId="6420AA5A" w:rsidR="003E5B7F" w:rsidRDefault="00F21428" w:rsidP="006F1FF7">
      <w:pPr>
        <w:pStyle w:val="Bullet1"/>
      </w:pPr>
      <w:r w:rsidRPr="00C02A37">
        <w:t>Ensure net zero building standards are a key consideration in discussions with landlords during lease negotiations</w:t>
      </w:r>
      <w:r>
        <w:t>.</w:t>
      </w:r>
    </w:p>
    <w:p w14:paraId="132FCF59" w14:textId="1FB4E3C2" w:rsidR="00F21428" w:rsidRPr="00C02A37" w:rsidRDefault="00F21428" w:rsidP="00AC290E">
      <w:pPr>
        <w:pStyle w:val="Heading30"/>
      </w:pPr>
      <w:bookmarkStart w:id="76" w:name="_Toc175822563"/>
      <w:r w:rsidRPr="00C02A37">
        <w:t>Incorporating sustainable procurement into future fit-out projects</w:t>
      </w:r>
      <w:bookmarkEnd w:id="76"/>
    </w:p>
    <w:p w14:paraId="30E2B7B8" w14:textId="115A3614" w:rsidR="00F21428" w:rsidRDefault="00F21428" w:rsidP="000558CB">
      <w:pPr>
        <w:pStyle w:val="BodyText1"/>
        <w:spacing w:before="0" w:after="0" w:line="240" w:lineRule="auto"/>
      </w:pPr>
      <w:r w:rsidRPr="00F21428">
        <w:t xml:space="preserve">The </w:t>
      </w:r>
      <w:r>
        <w:t xml:space="preserve">CDPP </w:t>
      </w:r>
      <w:r w:rsidRPr="00F21428">
        <w:t>is committed to incorporating sustainable principles</w:t>
      </w:r>
      <w:r>
        <w:t xml:space="preserve"> </w:t>
      </w:r>
      <w:r w:rsidRPr="00F21428">
        <w:t>encompassing climate,</w:t>
      </w:r>
      <w:r w:rsidRPr="00C02A37">
        <w:t xml:space="preserve"> </w:t>
      </w:r>
      <w:r w:rsidRPr="00F21428">
        <w:t>environment, and circularity</w:t>
      </w:r>
      <w:r>
        <w:t>,</w:t>
      </w:r>
      <w:r w:rsidRPr="00F21428">
        <w:t xml:space="preserve"> as outlined in the </w:t>
      </w:r>
      <w:hyperlink r:id="rId13" w:history="1">
        <w:r w:rsidRPr="00E3477A">
          <w:rPr>
            <w:rStyle w:val="Hyperlink"/>
          </w:rPr>
          <w:t>Environmentally Sustainable Procurement Policy</w:t>
        </w:r>
      </w:hyperlink>
      <w:r>
        <w:t xml:space="preserve">, </w:t>
      </w:r>
      <w:r w:rsidRPr="00F21428">
        <w:t>into</w:t>
      </w:r>
      <w:r w:rsidRPr="00C02A37">
        <w:t xml:space="preserve"> </w:t>
      </w:r>
      <w:r w:rsidRPr="00F21428">
        <w:t xml:space="preserve">future fit-out projects where appropriate. The </w:t>
      </w:r>
      <w:r>
        <w:t xml:space="preserve">CDPP </w:t>
      </w:r>
      <w:r w:rsidRPr="00F21428">
        <w:t>will prioritise the use of recycled content</w:t>
      </w:r>
      <w:r w:rsidRPr="00C02A37">
        <w:t xml:space="preserve"> </w:t>
      </w:r>
      <w:r w:rsidRPr="00F21428">
        <w:t xml:space="preserve">and refurbished products to reduce embodied emissions in office </w:t>
      </w:r>
      <w:r w:rsidR="000558CB" w:rsidRPr="00F21428">
        <w:t>fit outs</w:t>
      </w:r>
      <w:r w:rsidRPr="00F21428">
        <w:t xml:space="preserve"> and minimise environmental</w:t>
      </w:r>
      <w:r w:rsidRPr="00C02A37">
        <w:t xml:space="preserve"> </w:t>
      </w:r>
      <w:r w:rsidRPr="00F21428">
        <w:t>impact.</w:t>
      </w:r>
    </w:p>
    <w:p w14:paraId="51DE8846" w14:textId="77777777" w:rsidR="000558CB" w:rsidRPr="00F21428" w:rsidRDefault="000558CB" w:rsidP="000558CB">
      <w:pPr>
        <w:pStyle w:val="BodyText1"/>
        <w:spacing w:before="0" w:after="0" w:line="240" w:lineRule="auto"/>
      </w:pPr>
    </w:p>
    <w:p w14:paraId="475095C7" w14:textId="52889F2E" w:rsidR="00F21428" w:rsidRDefault="00F21428" w:rsidP="000558CB">
      <w:pPr>
        <w:pStyle w:val="BodyText1"/>
        <w:spacing w:before="0" w:after="0" w:line="240" w:lineRule="auto"/>
      </w:pPr>
      <w:r w:rsidRPr="00F21428">
        <w:t xml:space="preserve">Value for money remains the core principle of the </w:t>
      </w:r>
      <w:r>
        <w:t>CDPP</w:t>
      </w:r>
      <w:r w:rsidRPr="00F21428">
        <w:t>’s procurement practices. In assessing</w:t>
      </w:r>
      <w:r w:rsidRPr="00C02A37">
        <w:t xml:space="preserve"> </w:t>
      </w:r>
      <w:r w:rsidRPr="00F21428">
        <w:t>value for money, the C</w:t>
      </w:r>
      <w:r>
        <w:t xml:space="preserve">DPP </w:t>
      </w:r>
      <w:r w:rsidRPr="00F21428">
        <w:t xml:space="preserve">will </w:t>
      </w:r>
      <w:r w:rsidR="000558CB" w:rsidRPr="00F21428">
        <w:t>consider</w:t>
      </w:r>
      <w:r w:rsidRPr="00F21428">
        <w:t xml:space="preserve"> all relevant costs and benefits over the entire</w:t>
      </w:r>
      <w:r w:rsidRPr="00C02A37">
        <w:t xml:space="preserve"> </w:t>
      </w:r>
      <w:r w:rsidRPr="00F21428">
        <w:t xml:space="preserve">life of goods and/or services, adopting a sustainable approach in accordance with the </w:t>
      </w:r>
      <w:hyperlink r:id="rId14" w:history="1">
        <w:r w:rsidRPr="00877A37">
          <w:rPr>
            <w:rStyle w:val="Hyperlink"/>
          </w:rPr>
          <w:t>Sustainable Procurement Guide</w:t>
        </w:r>
      </w:hyperlink>
      <w:r w:rsidRPr="00F21428">
        <w:t>.</w:t>
      </w:r>
    </w:p>
    <w:p w14:paraId="2A1E7BEC" w14:textId="6E84E5BF" w:rsidR="00877A37" w:rsidRDefault="00877A37">
      <w:pPr>
        <w:spacing w:before="0" w:after="200" w:line="276" w:lineRule="auto"/>
      </w:pPr>
      <w:r>
        <w:br w:type="page"/>
      </w:r>
    </w:p>
    <w:p w14:paraId="387A6274" w14:textId="77CA31AC" w:rsidR="00F21428" w:rsidRPr="003E5B7F" w:rsidRDefault="00F21428" w:rsidP="00AC290E">
      <w:pPr>
        <w:pStyle w:val="Heading30"/>
      </w:pPr>
      <w:bookmarkStart w:id="77" w:name="_Toc175740193"/>
      <w:bookmarkStart w:id="78" w:name="_Toc175741371"/>
      <w:bookmarkStart w:id="79" w:name="_Toc175822564"/>
      <w:r w:rsidRPr="00C02A37">
        <w:lastRenderedPageBreak/>
        <w:t>A</w:t>
      </w:r>
      <w:r w:rsidR="00BA7257">
        <w:t>ction</w:t>
      </w:r>
      <w:bookmarkEnd w:id="77"/>
      <w:bookmarkEnd w:id="78"/>
      <w:bookmarkEnd w:id="79"/>
    </w:p>
    <w:p w14:paraId="2A750841" w14:textId="70ADC9B2" w:rsidR="00F21428" w:rsidRPr="00C324DF" w:rsidRDefault="00F21428"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Ensure the Property Service Provider will align with the government’s Sustainability Procurement Guidance for future fit-out contracts</w:t>
      </w:r>
      <w:r w:rsidR="006F1FF7" w:rsidRPr="00C324DF">
        <w:rPr>
          <w:rFonts w:ascii="Calibri" w:hAnsi="Calibri" w:cs="Calibri"/>
          <w:color w:val="111C2C"/>
        </w:rPr>
        <w:t>.</w:t>
      </w:r>
    </w:p>
    <w:p w14:paraId="00CDBA0D" w14:textId="561FA8A6" w:rsidR="00F21428" w:rsidRPr="00C324DF" w:rsidRDefault="007F53DA"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I</w:t>
      </w:r>
      <w:r w:rsidR="00F21428" w:rsidRPr="00C324DF">
        <w:rPr>
          <w:rFonts w:ascii="Calibri" w:hAnsi="Calibri" w:cs="Calibri"/>
          <w:color w:val="111C2C"/>
        </w:rPr>
        <w:t>mplement proper appliance management practices, including maintenance, repair, and end-of-life disposal in accordance with sustainability principles</w:t>
      </w:r>
      <w:r w:rsidR="006F1FF7" w:rsidRPr="00C324DF">
        <w:rPr>
          <w:rFonts w:ascii="Calibri" w:hAnsi="Calibri" w:cs="Calibri"/>
          <w:color w:val="111C2C"/>
        </w:rPr>
        <w:t>.</w:t>
      </w:r>
    </w:p>
    <w:p w14:paraId="774356BD" w14:textId="5402E5CF" w:rsidR="003E5B7F" w:rsidRPr="00C324DF" w:rsidRDefault="00F21428"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Engage with contractors, tenants, and stakeholders to raise awareness of recycling opportunities and encourage participation in sustainable waste management practices</w:t>
      </w:r>
      <w:r w:rsidR="006F1FF7" w:rsidRPr="00C324DF">
        <w:rPr>
          <w:rFonts w:ascii="Calibri" w:hAnsi="Calibri" w:cs="Calibri"/>
          <w:color w:val="111C2C"/>
        </w:rPr>
        <w:t>.</w:t>
      </w:r>
    </w:p>
    <w:p w14:paraId="053AEA24" w14:textId="745EE34F" w:rsidR="00F21428" w:rsidRPr="00C02A37" w:rsidRDefault="00F21428" w:rsidP="00AC290E">
      <w:pPr>
        <w:pStyle w:val="Heading30"/>
      </w:pPr>
      <w:bookmarkStart w:id="80" w:name="_Toc175822565"/>
      <w:r w:rsidRPr="00C02A37">
        <w:t xml:space="preserve">Planning and updating efficient </w:t>
      </w:r>
      <w:proofErr w:type="gramStart"/>
      <w:r w:rsidRPr="00C02A37">
        <w:t>lighting</w:t>
      </w:r>
      <w:bookmarkEnd w:id="80"/>
      <w:proofErr w:type="gramEnd"/>
    </w:p>
    <w:p w14:paraId="5A78E1A6" w14:textId="574A3024" w:rsidR="00F21428" w:rsidRDefault="00F21428" w:rsidP="000558CB">
      <w:pPr>
        <w:pStyle w:val="BodyText1"/>
        <w:spacing w:before="0" w:after="0" w:line="240" w:lineRule="auto"/>
      </w:pPr>
      <w:r w:rsidRPr="00C02A37">
        <w:t>The C</w:t>
      </w:r>
      <w:r>
        <w:t xml:space="preserve">DPP </w:t>
      </w:r>
      <w:r w:rsidRPr="00C02A37">
        <w:t xml:space="preserve">will implement lighting upgrades where they will have the greatest impact on </w:t>
      </w:r>
      <w:r w:rsidR="00877A37">
        <w:t xml:space="preserve">reducing </w:t>
      </w:r>
      <w:r w:rsidRPr="00C02A37">
        <w:t>energy consumption and emissions. Future fit-out projects will prioritise the use of efficient lighting to enhance energy efficiency, contributing to long-term reductions in energy usage.</w:t>
      </w:r>
    </w:p>
    <w:p w14:paraId="09DDA7FE" w14:textId="77777777" w:rsidR="000558CB" w:rsidRPr="00C02A37" w:rsidRDefault="000558CB" w:rsidP="000558CB">
      <w:pPr>
        <w:pStyle w:val="BodyText1"/>
        <w:spacing w:before="0" w:after="0" w:line="240" w:lineRule="auto"/>
      </w:pPr>
    </w:p>
    <w:p w14:paraId="3817F03A" w14:textId="4445CB9D" w:rsidR="00F21428" w:rsidRPr="00C02A37" w:rsidRDefault="00F21428" w:rsidP="000558CB">
      <w:pPr>
        <w:pStyle w:val="BodyText1"/>
        <w:spacing w:before="0" w:after="0" w:line="240" w:lineRule="auto"/>
        <w:rPr>
          <w:rFonts w:ascii="Calibri" w:hAnsi="Calibri" w:cs="Calibri"/>
        </w:rPr>
      </w:pPr>
      <w:r w:rsidRPr="00C02A37">
        <w:rPr>
          <w:rFonts w:ascii="Calibri" w:hAnsi="Calibri" w:cs="Calibri"/>
        </w:rPr>
        <w:t>Additionally, implementing energy-efficient lighting controls, including sensors to regulate light usage, will further enhance energy savings and support the C</w:t>
      </w:r>
      <w:r w:rsidR="00947FF4">
        <w:rPr>
          <w:rFonts w:ascii="Calibri" w:hAnsi="Calibri" w:cs="Calibri"/>
        </w:rPr>
        <w:t>DPP’</w:t>
      </w:r>
      <w:r w:rsidRPr="00C02A37">
        <w:rPr>
          <w:rFonts w:ascii="Calibri" w:hAnsi="Calibri" w:cs="Calibri"/>
        </w:rPr>
        <w:t>s sustainability goals.</w:t>
      </w:r>
    </w:p>
    <w:p w14:paraId="0967A542" w14:textId="116A44BC" w:rsidR="00F21428" w:rsidRPr="00C02A37" w:rsidRDefault="00F21428" w:rsidP="00AC290E">
      <w:pPr>
        <w:pStyle w:val="Heading30"/>
      </w:pPr>
      <w:bookmarkStart w:id="81" w:name="_Toc175740195"/>
      <w:bookmarkStart w:id="82" w:name="_Toc175741373"/>
      <w:bookmarkStart w:id="83" w:name="_Toc175822566"/>
      <w:r w:rsidRPr="00C02A37">
        <w:t>A</w:t>
      </w:r>
      <w:r w:rsidR="00BA7257">
        <w:t>ction</w:t>
      </w:r>
      <w:bookmarkEnd w:id="81"/>
      <w:bookmarkEnd w:id="82"/>
      <w:bookmarkEnd w:id="83"/>
    </w:p>
    <w:p w14:paraId="509DC86A" w14:textId="1F7FC8C7" w:rsidR="00F21428" w:rsidRPr="00C324DF" w:rsidRDefault="00F21428"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Undertake upgrades that have been assessed to have significant energy reductions</w:t>
      </w:r>
      <w:r w:rsidR="006F1FF7" w:rsidRPr="00C324DF">
        <w:rPr>
          <w:rFonts w:ascii="Calibri" w:hAnsi="Calibri" w:cs="Calibri"/>
          <w:color w:val="111C2C"/>
        </w:rPr>
        <w:t>.</w:t>
      </w:r>
    </w:p>
    <w:p w14:paraId="501E5F8D" w14:textId="044639D6" w:rsidR="00F21428" w:rsidRPr="00C324DF" w:rsidRDefault="00F21428"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 xml:space="preserve"> Identify and implement appropriate and efficient lighting and controls where possible</w:t>
      </w:r>
      <w:r w:rsidR="006F1FF7" w:rsidRPr="00C324DF">
        <w:rPr>
          <w:rFonts w:ascii="Calibri" w:hAnsi="Calibri" w:cs="Calibri"/>
          <w:color w:val="111C2C"/>
        </w:rPr>
        <w:t>.</w:t>
      </w:r>
    </w:p>
    <w:p w14:paraId="48E4FD29" w14:textId="6B0D1397" w:rsidR="00F21428" w:rsidRPr="00C324DF" w:rsidRDefault="00F21428" w:rsidP="00C324DF">
      <w:pPr>
        <w:pStyle w:val="ListParagraph"/>
        <w:numPr>
          <w:ilvl w:val="0"/>
          <w:numId w:val="16"/>
        </w:numPr>
        <w:autoSpaceDE w:val="0"/>
        <w:autoSpaceDN w:val="0"/>
        <w:adjustRightInd w:val="0"/>
        <w:spacing w:before="0" w:after="60"/>
        <w:ind w:left="714" w:hanging="357"/>
        <w:contextualSpacing w:val="0"/>
        <w:rPr>
          <w:rFonts w:ascii="Calibri" w:hAnsi="Calibri" w:cs="Calibri"/>
          <w:color w:val="111C2C"/>
        </w:rPr>
      </w:pPr>
      <w:r w:rsidRPr="00C324DF">
        <w:rPr>
          <w:rFonts w:ascii="Calibri" w:hAnsi="Calibri" w:cs="Calibri"/>
          <w:color w:val="111C2C"/>
        </w:rPr>
        <w:t xml:space="preserve"> Ensure that efficient lighting is a primary requirement in all fit-out projects</w:t>
      </w:r>
      <w:r w:rsidR="006F1FF7" w:rsidRPr="00C324DF">
        <w:rPr>
          <w:rFonts w:ascii="Calibri" w:hAnsi="Calibri" w:cs="Calibri"/>
          <w:color w:val="111C2C"/>
        </w:rPr>
        <w:t>.</w:t>
      </w:r>
    </w:p>
    <w:p w14:paraId="5451B868" w14:textId="640D44AB" w:rsidR="007A5E71" w:rsidRPr="00BA7257" w:rsidRDefault="0011169B" w:rsidP="00AC290E">
      <w:pPr>
        <w:pStyle w:val="Boxedheading1"/>
      </w:pPr>
      <w:bookmarkStart w:id="84" w:name="_Toc175835644"/>
      <w:bookmarkStart w:id="85" w:name="_Toc175837389"/>
      <w:bookmarkStart w:id="86" w:name="_Toc175908683"/>
      <w:r w:rsidRPr="00BA7257">
        <w:t>Net Zero Energy</w:t>
      </w:r>
      <w:bookmarkEnd w:id="84"/>
      <w:bookmarkEnd w:id="85"/>
      <w:bookmarkEnd w:id="86"/>
    </w:p>
    <w:p w14:paraId="26B07152" w14:textId="6FB328D8" w:rsidR="00BC5ADF" w:rsidRPr="00C02A37" w:rsidRDefault="00BC5ADF" w:rsidP="00AC290E">
      <w:pPr>
        <w:pStyle w:val="Heading30"/>
      </w:pPr>
      <w:bookmarkStart w:id="87" w:name="_Toc175822569"/>
      <w:r w:rsidRPr="00C02A37">
        <w:t>Procuring renewable electricity</w:t>
      </w:r>
      <w:bookmarkEnd w:id="87"/>
    </w:p>
    <w:p w14:paraId="1D9B5B11" w14:textId="6FCE621F" w:rsidR="00AF0039" w:rsidRDefault="00AF0039" w:rsidP="000558CB">
      <w:pPr>
        <w:pStyle w:val="BodyText1"/>
        <w:spacing w:before="0" w:after="0" w:line="240" w:lineRule="auto"/>
      </w:pPr>
      <w:r w:rsidRPr="00C02A37">
        <w:t xml:space="preserve">Under the </w:t>
      </w:r>
      <w:proofErr w:type="spellStart"/>
      <w:r w:rsidRPr="00C02A37">
        <w:t>WoAG</w:t>
      </w:r>
      <w:proofErr w:type="spellEnd"/>
      <w:r w:rsidRPr="00C02A37">
        <w:t xml:space="preserve"> electricity contracts, renewable energy will be procured. Using electricity generated from a zero greenhouse-gas emitting source will reduce emissions and ensure a supply of clean energy with reduced environmental impact.</w:t>
      </w:r>
    </w:p>
    <w:p w14:paraId="2ED5C846" w14:textId="77777777" w:rsidR="000558CB" w:rsidRPr="00C02A37" w:rsidRDefault="000558CB" w:rsidP="000558CB">
      <w:pPr>
        <w:pStyle w:val="BodyText1"/>
        <w:spacing w:before="0" w:after="0" w:line="240" w:lineRule="auto"/>
      </w:pPr>
    </w:p>
    <w:p w14:paraId="37B96B63" w14:textId="6D6CA1FB" w:rsidR="00AF0039" w:rsidRDefault="00AF0039" w:rsidP="000558CB">
      <w:pPr>
        <w:pStyle w:val="BodyText1"/>
        <w:spacing w:before="0" w:after="0" w:line="240" w:lineRule="auto"/>
      </w:pPr>
      <w:r w:rsidRPr="00C02A37">
        <w:t>The C</w:t>
      </w:r>
      <w:r w:rsidR="00947FF4">
        <w:t>DPP</w:t>
      </w:r>
      <w:r w:rsidRPr="00C02A37">
        <w:t xml:space="preserve"> is committed to join the WoAG electricity contracts for other sites when available for participation</w:t>
      </w:r>
      <w:r w:rsidR="000558CB">
        <w:t xml:space="preserve"> and </w:t>
      </w:r>
      <w:r w:rsidRPr="00C02A37">
        <w:t>will align with the WoAG outcome to address tenancies where embedded networks exist.</w:t>
      </w:r>
    </w:p>
    <w:p w14:paraId="22CE7DA0" w14:textId="7D6E6790" w:rsidR="00AF0039" w:rsidRPr="00C02A37" w:rsidRDefault="00AF0039" w:rsidP="00AC290E">
      <w:pPr>
        <w:pStyle w:val="Heading30"/>
      </w:pPr>
      <w:bookmarkStart w:id="88" w:name="_Toc175740199"/>
      <w:bookmarkStart w:id="89" w:name="_Toc175741377"/>
      <w:bookmarkStart w:id="90" w:name="_Toc175822570"/>
      <w:r w:rsidRPr="00C02A37">
        <w:t>A</w:t>
      </w:r>
      <w:r w:rsidR="00BA7257">
        <w:t>ction</w:t>
      </w:r>
      <w:bookmarkEnd w:id="88"/>
      <w:bookmarkEnd w:id="89"/>
      <w:bookmarkEnd w:id="90"/>
    </w:p>
    <w:p w14:paraId="75C7C86D" w14:textId="5518C49E" w:rsidR="00AF0039" w:rsidRPr="005200CC" w:rsidRDefault="00AF0039"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 xml:space="preserve">Consult with the Department of Finance to ensure participation in </w:t>
      </w:r>
      <w:proofErr w:type="spellStart"/>
      <w:r w:rsidRPr="005200CC">
        <w:rPr>
          <w:rFonts w:ascii="Calibri" w:hAnsi="Calibri" w:cs="Calibri"/>
        </w:rPr>
        <w:t>WoAG</w:t>
      </w:r>
      <w:proofErr w:type="spellEnd"/>
      <w:r w:rsidRPr="005200CC">
        <w:rPr>
          <w:rFonts w:ascii="Calibri" w:hAnsi="Calibri" w:cs="Calibri"/>
        </w:rPr>
        <w:t xml:space="preserve"> electricity procurement as per the </w:t>
      </w:r>
      <w:r w:rsidR="006F1FF7" w:rsidRPr="005200CC">
        <w:rPr>
          <w:rFonts w:ascii="Calibri" w:hAnsi="Calibri" w:cs="Calibri"/>
        </w:rPr>
        <w:t>s</w:t>
      </w:r>
      <w:r w:rsidRPr="005200CC">
        <w:rPr>
          <w:rFonts w:ascii="Calibri" w:hAnsi="Calibri" w:cs="Calibri"/>
        </w:rPr>
        <w:t xml:space="preserve">trategy, and </w:t>
      </w:r>
      <w:r w:rsidR="004A6537" w:rsidRPr="005200CC">
        <w:rPr>
          <w:rFonts w:ascii="Calibri" w:hAnsi="Calibri" w:cs="Calibri"/>
        </w:rPr>
        <w:t xml:space="preserve">where possible, </w:t>
      </w:r>
      <w:r w:rsidRPr="005200CC">
        <w:rPr>
          <w:rFonts w:ascii="Calibri" w:hAnsi="Calibri" w:cs="Calibri"/>
        </w:rPr>
        <w:t>replace electricity contracts with renewable electricity</w:t>
      </w:r>
      <w:r w:rsidR="004A6537" w:rsidRPr="005200CC">
        <w:rPr>
          <w:rFonts w:ascii="Calibri" w:hAnsi="Calibri" w:cs="Calibri"/>
        </w:rPr>
        <w:t>.</w:t>
      </w:r>
    </w:p>
    <w:p w14:paraId="47CA7E35" w14:textId="620BE301" w:rsidR="003E5B7F" w:rsidRPr="005200CC" w:rsidRDefault="00AF0039"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Consult with the Property Service Provider to identify opportunities to source renewable electricity for those offices not currently sourcing renewable electricity, prior to WoAG electricity contracts becoming available.</w:t>
      </w:r>
      <w:bookmarkStart w:id="91" w:name="_Toc174104067"/>
    </w:p>
    <w:p w14:paraId="7F28EAD8" w14:textId="42C1DA36" w:rsidR="000558CB" w:rsidRDefault="00DD4C83" w:rsidP="00AC290E">
      <w:pPr>
        <w:spacing w:before="0" w:after="200" w:line="276" w:lineRule="auto"/>
      </w:pPr>
      <w:r>
        <w:br w:type="page"/>
      </w:r>
    </w:p>
    <w:p w14:paraId="3257147B" w14:textId="60F5910D" w:rsidR="0099544A" w:rsidRPr="00C02A37" w:rsidRDefault="0011169B" w:rsidP="00AC290E">
      <w:pPr>
        <w:pStyle w:val="Boxedheading1"/>
      </w:pPr>
      <w:bookmarkStart w:id="92" w:name="_Toc175835645"/>
      <w:bookmarkStart w:id="93" w:name="_Toc175837390"/>
      <w:bookmarkStart w:id="94" w:name="_Toc175908684"/>
      <w:r>
        <w:lastRenderedPageBreak/>
        <w:t>Net Zero Fleet</w:t>
      </w:r>
      <w:bookmarkEnd w:id="92"/>
      <w:bookmarkEnd w:id="93"/>
      <w:bookmarkEnd w:id="94"/>
    </w:p>
    <w:bookmarkEnd w:id="91"/>
    <w:p w14:paraId="4C8C886B" w14:textId="696502AC" w:rsidR="00C93490" w:rsidRDefault="005F7B6A" w:rsidP="00AC290E">
      <w:r w:rsidRPr="00C02A37">
        <w:t xml:space="preserve">The </w:t>
      </w:r>
      <w:r w:rsidR="00B70FEA" w:rsidRPr="00C02A37">
        <w:t>CDPP</w:t>
      </w:r>
      <w:r w:rsidRPr="00C02A37">
        <w:t xml:space="preserve"> is committed to reducing our transportation-related emissions </w:t>
      </w:r>
      <w:r w:rsidR="00ED2F17" w:rsidRPr="00C02A37">
        <w:t xml:space="preserve">through the operation of a </w:t>
      </w:r>
      <w:r w:rsidRPr="00C02A37">
        <w:t xml:space="preserve">vehicle fleet </w:t>
      </w:r>
      <w:r w:rsidR="00ED2F17" w:rsidRPr="00C02A37">
        <w:t xml:space="preserve">with </w:t>
      </w:r>
      <w:r w:rsidRPr="00C02A37">
        <w:t>low-emission electric and expanding e-charging infrastructure.</w:t>
      </w:r>
      <w:r w:rsidR="00ED2F17" w:rsidRPr="00C02A37">
        <w:t xml:space="preserve"> </w:t>
      </w:r>
      <w:r w:rsidRPr="00C02A37">
        <w:t xml:space="preserve">By </w:t>
      </w:r>
      <w:r w:rsidR="00ED2F17" w:rsidRPr="00C02A37">
        <w:t xml:space="preserve">using </w:t>
      </w:r>
      <w:r w:rsidRPr="00C02A37">
        <w:t xml:space="preserve">low-emission technologies, we </w:t>
      </w:r>
      <w:r w:rsidR="00ED2F17" w:rsidRPr="00C02A37">
        <w:t xml:space="preserve">are </w:t>
      </w:r>
      <w:r w:rsidRPr="00C02A37">
        <w:t>reduc</w:t>
      </w:r>
      <w:r w:rsidR="00ED2F17" w:rsidRPr="00C02A37">
        <w:t xml:space="preserve">ing </w:t>
      </w:r>
      <w:r w:rsidRPr="00C02A37">
        <w:t>our carbon footprint and demonstrat</w:t>
      </w:r>
      <w:r w:rsidR="006E3CC3">
        <w:t>ing</w:t>
      </w:r>
      <w:r w:rsidRPr="00C02A37">
        <w:t xml:space="preserve"> leadership in sustainable transportation.</w:t>
      </w:r>
      <w:r w:rsidR="008A60F6">
        <w:t xml:space="preserve"> </w:t>
      </w:r>
      <w:r w:rsidR="005426CC">
        <w:t xml:space="preserve">The CDPP vehicle fleet is comprised of </w:t>
      </w:r>
      <w:r w:rsidR="008A60F6">
        <w:t xml:space="preserve">50% </w:t>
      </w:r>
      <w:r w:rsidR="005426CC">
        <w:t>e</w:t>
      </w:r>
      <w:r w:rsidR="00C93490" w:rsidRPr="00490222">
        <w:t xml:space="preserve">lectric </w:t>
      </w:r>
      <w:r w:rsidR="005426CC">
        <w:t>v</w:t>
      </w:r>
      <w:r w:rsidR="00C93490" w:rsidRPr="00490222">
        <w:t>ehicles</w:t>
      </w:r>
      <w:r w:rsidR="005426CC">
        <w:t>.</w:t>
      </w:r>
      <w:r w:rsidR="008A60F6">
        <w:t xml:space="preserve"> </w:t>
      </w:r>
    </w:p>
    <w:p w14:paraId="2EF63E42" w14:textId="18C7EE88" w:rsidR="004F63ED" w:rsidRPr="00C02A37" w:rsidRDefault="004F63ED" w:rsidP="00AC290E">
      <w:pPr>
        <w:pStyle w:val="Heading30"/>
      </w:pPr>
      <w:bookmarkStart w:id="95" w:name="_Toc175740201"/>
      <w:bookmarkStart w:id="96" w:name="_Toc175741379"/>
      <w:bookmarkStart w:id="97" w:name="_Toc175822572"/>
      <w:r w:rsidRPr="00C02A37">
        <w:t>A</w:t>
      </w:r>
      <w:r w:rsidR="00BA7257">
        <w:t>ction</w:t>
      </w:r>
      <w:bookmarkEnd w:id="95"/>
      <w:bookmarkEnd w:id="96"/>
      <w:bookmarkEnd w:id="97"/>
      <w:r w:rsidRPr="00C02A37">
        <w:t xml:space="preserve"> </w:t>
      </w:r>
    </w:p>
    <w:p w14:paraId="660C83A9" w14:textId="58E6278A" w:rsidR="008A60F6" w:rsidRPr="005200CC" w:rsidRDefault="008A60F6"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Develop an Electric Vehicle Charging Plan</w:t>
      </w:r>
      <w:r w:rsidR="006F1FF7" w:rsidRPr="005200CC">
        <w:rPr>
          <w:rFonts w:ascii="Calibri" w:hAnsi="Calibri" w:cs="Calibri"/>
        </w:rPr>
        <w:t>.</w:t>
      </w:r>
      <w:r w:rsidRPr="005200CC">
        <w:rPr>
          <w:rFonts w:ascii="Calibri" w:hAnsi="Calibri" w:cs="Calibri"/>
        </w:rPr>
        <w:t xml:space="preserve"> </w:t>
      </w:r>
    </w:p>
    <w:p w14:paraId="1A76409B" w14:textId="1087C316" w:rsidR="0024544C" w:rsidRPr="005200CC" w:rsidRDefault="005426CC"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 xml:space="preserve">New orders of </w:t>
      </w:r>
      <w:r w:rsidR="0073027C" w:rsidRPr="005200CC">
        <w:rPr>
          <w:rFonts w:ascii="Calibri" w:hAnsi="Calibri" w:cs="Calibri"/>
        </w:rPr>
        <w:t xml:space="preserve">fleet </w:t>
      </w:r>
      <w:r w:rsidRPr="005200CC">
        <w:rPr>
          <w:rFonts w:ascii="Calibri" w:hAnsi="Calibri" w:cs="Calibri"/>
        </w:rPr>
        <w:t xml:space="preserve">vehicles </w:t>
      </w:r>
      <w:r w:rsidR="0073027C" w:rsidRPr="005200CC">
        <w:rPr>
          <w:rFonts w:ascii="Calibri" w:hAnsi="Calibri" w:cs="Calibri"/>
        </w:rPr>
        <w:t>will be in line with the Net Zero</w:t>
      </w:r>
      <w:r w:rsidRPr="005200CC">
        <w:rPr>
          <w:rFonts w:ascii="Calibri" w:hAnsi="Calibri" w:cs="Calibri"/>
        </w:rPr>
        <w:t xml:space="preserve"> strategy</w:t>
      </w:r>
      <w:r w:rsidR="006F1FF7" w:rsidRPr="005200CC">
        <w:rPr>
          <w:rFonts w:ascii="Calibri" w:hAnsi="Calibri" w:cs="Calibri"/>
        </w:rPr>
        <w:t>.</w:t>
      </w:r>
      <w:r w:rsidR="0073027C" w:rsidRPr="005200CC">
        <w:rPr>
          <w:rFonts w:ascii="Calibri" w:hAnsi="Calibri" w:cs="Calibri"/>
        </w:rPr>
        <w:t xml:space="preserve"> </w:t>
      </w:r>
      <w:r w:rsidR="0024544C" w:rsidRPr="005200CC">
        <w:rPr>
          <w:rFonts w:ascii="Calibri" w:hAnsi="Calibri" w:cs="Calibri"/>
        </w:rPr>
        <w:t xml:space="preserve"> </w:t>
      </w:r>
    </w:p>
    <w:p w14:paraId="173AC53C" w14:textId="3EF7C809" w:rsidR="000558CB" w:rsidRPr="00AC290E" w:rsidRDefault="004F63ED" w:rsidP="00AC290E">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Continue to utilise electric vehicles and install e-charging infrastructure where possible.</w:t>
      </w:r>
    </w:p>
    <w:p w14:paraId="73D2328A" w14:textId="46695E7E" w:rsidR="006C42DD" w:rsidRPr="00C02A37" w:rsidRDefault="00F62D27" w:rsidP="00AC290E">
      <w:pPr>
        <w:pStyle w:val="Boxedheading1"/>
      </w:pPr>
      <w:bookmarkStart w:id="98" w:name="_Toc175835646"/>
      <w:bookmarkStart w:id="99" w:name="_Toc175837391"/>
      <w:bookmarkStart w:id="100" w:name="_Toc175908685"/>
      <w:r>
        <w:t>Net Zero Procurement</w:t>
      </w:r>
      <w:bookmarkEnd w:id="98"/>
      <w:bookmarkEnd w:id="99"/>
      <w:bookmarkEnd w:id="100"/>
    </w:p>
    <w:p w14:paraId="4A5D70AC" w14:textId="43B3E9C9" w:rsidR="006C42DD" w:rsidRPr="00C02A37" w:rsidRDefault="006C42DD" w:rsidP="00AC290E">
      <w:r w:rsidRPr="00C02A37">
        <w:t xml:space="preserve">The </w:t>
      </w:r>
      <w:r w:rsidR="00B70FEA" w:rsidRPr="00C02A37">
        <w:t>CDPP</w:t>
      </w:r>
      <w:r w:rsidRPr="00C02A37">
        <w:t xml:space="preserve"> will align its procurement policy with the </w:t>
      </w:r>
      <w:hyperlink r:id="rId15" w:history="1">
        <w:r w:rsidRPr="004A3A22">
          <w:rPr>
            <w:rStyle w:val="Hyperlink"/>
          </w:rPr>
          <w:t>Environmentally Sustainable Procurement Policy</w:t>
        </w:r>
      </w:hyperlink>
      <w:r w:rsidRPr="00C02A37">
        <w:t xml:space="preserve"> and the </w:t>
      </w:r>
      <w:hyperlink r:id="rId16" w:history="1">
        <w:r w:rsidRPr="004A3A22">
          <w:rPr>
            <w:rStyle w:val="Hyperlink"/>
          </w:rPr>
          <w:t>Sustainable Procurement Guide</w:t>
        </w:r>
      </w:hyperlink>
      <w:r w:rsidRPr="00C02A37">
        <w:t xml:space="preserve"> published by the Department of Climate Change, Energy, the Environment and Water.</w:t>
      </w:r>
      <w:r w:rsidR="000558CB">
        <w:t xml:space="preserve"> </w:t>
      </w:r>
      <w:r w:rsidRPr="00C02A37">
        <w:t>To ensure the successful implementation of our sustainable procurement, we will proactively educate and build the capabilities of our staff in this area.</w:t>
      </w:r>
    </w:p>
    <w:p w14:paraId="278E047A" w14:textId="226702E0" w:rsidR="00374D9E" w:rsidRPr="00C02A37" w:rsidRDefault="00374D9E" w:rsidP="00AC290E">
      <w:pPr>
        <w:pStyle w:val="Heading30"/>
      </w:pPr>
      <w:bookmarkStart w:id="101" w:name="_Toc175740203"/>
      <w:bookmarkStart w:id="102" w:name="_Toc175741381"/>
      <w:bookmarkStart w:id="103" w:name="_Toc175822574"/>
      <w:r w:rsidRPr="00C02A37">
        <w:t>A</w:t>
      </w:r>
      <w:r w:rsidR="00BA7257">
        <w:t>ction</w:t>
      </w:r>
      <w:bookmarkEnd w:id="101"/>
      <w:bookmarkEnd w:id="102"/>
      <w:bookmarkEnd w:id="103"/>
    </w:p>
    <w:p w14:paraId="467541DC" w14:textId="0DE4A4E8" w:rsidR="000558CB" w:rsidRPr="00AC290E" w:rsidRDefault="00374D9E" w:rsidP="00AC290E">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 xml:space="preserve">Develop and implement guidance and training to support </w:t>
      </w:r>
      <w:r w:rsidR="0073027C" w:rsidRPr="005200CC">
        <w:rPr>
          <w:rFonts w:ascii="Calibri" w:hAnsi="Calibri" w:cs="Calibri"/>
        </w:rPr>
        <w:t xml:space="preserve">the </w:t>
      </w:r>
      <w:r w:rsidRPr="005200CC">
        <w:rPr>
          <w:rFonts w:ascii="Calibri" w:hAnsi="Calibri" w:cs="Calibri"/>
        </w:rPr>
        <w:t>Environmentally Sustainable Procurement Policy</w:t>
      </w:r>
      <w:r w:rsidR="0073027C" w:rsidRPr="005200CC">
        <w:rPr>
          <w:rFonts w:ascii="Calibri" w:hAnsi="Calibri" w:cs="Calibri"/>
        </w:rPr>
        <w:t>,</w:t>
      </w:r>
      <w:r w:rsidRPr="005200CC">
        <w:rPr>
          <w:rFonts w:ascii="Calibri" w:hAnsi="Calibri" w:cs="Calibri"/>
        </w:rPr>
        <w:t xml:space="preserve"> by 30 June 2025</w:t>
      </w:r>
      <w:r w:rsidR="006F1FF7" w:rsidRPr="005200CC">
        <w:rPr>
          <w:rFonts w:ascii="Calibri" w:hAnsi="Calibri" w:cs="Calibri"/>
        </w:rPr>
        <w:t>.</w:t>
      </w:r>
    </w:p>
    <w:p w14:paraId="4EF3E3E4" w14:textId="1DBE1BA1" w:rsidR="006C42DD" w:rsidRPr="00AC290E" w:rsidRDefault="00F62D27" w:rsidP="00AC290E">
      <w:pPr>
        <w:pStyle w:val="Boxedheading1"/>
      </w:pPr>
      <w:bookmarkStart w:id="104" w:name="_Toc175835647"/>
      <w:bookmarkStart w:id="105" w:name="_Toc175837392"/>
      <w:bookmarkStart w:id="106" w:name="_Toc175908686"/>
      <w:r w:rsidRPr="00AC290E">
        <w:t>Net Zero Travel</w:t>
      </w:r>
      <w:bookmarkEnd w:id="104"/>
      <w:bookmarkEnd w:id="105"/>
      <w:bookmarkEnd w:id="106"/>
    </w:p>
    <w:p w14:paraId="7E1F5678" w14:textId="0FF84A09" w:rsidR="00A26790" w:rsidRPr="00C02A37" w:rsidRDefault="00A26790" w:rsidP="00AC290E">
      <w:pPr>
        <w:pStyle w:val="Heading30"/>
      </w:pPr>
      <w:bookmarkStart w:id="107" w:name="_Toc175822576"/>
      <w:r w:rsidRPr="00C02A37">
        <w:t>Considering climate impact when planning travel</w:t>
      </w:r>
      <w:bookmarkEnd w:id="107"/>
    </w:p>
    <w:p w14:paraId="767B1F5B" w14:textId="52B9E625" w:rsidR="000558CB" w:rsidRPr="00C02A37" w:rsidRDefault="00A26790" w:rsidP="00AC290E">
      <w:r w:rsidRPr="00C02A37">
        <w:t xml:space="preserve">The CDPP’s travel is primarily driven by the need to attend court. We are committed to aligning to </w:t>
      </w:r>
      <w:proofErr w:type="spellStart"/>
      <w:r w:rsidRPr="00C02A37">
        <w:t>WoAG</w:t>
      </w:r>
      <w:proofErr w:type="spellEnd"/>
      <w:r w:rsidRPr="00C02A37">
        <w:t xml:space="preserve"> travel policies, which require that travel must only be undertaken where other communication tools such as teleconferencing and videoconferencing are not suitable.</w:t>
      </w:r>
    </w:p>
    <w:p w14:paraId="41292B73" w14:textId="1FF93830" w:rsidR="000558CB" w:rsidRPr="000558CB" w:rsidRDefault="006C42DD" w:rsidP="00AC290E">
      <w:r w:rsidRPr="00C02A37">
        <w:t xml:space="preserve">To further support the </w:t>
      </w:r>
      <w:r w:rsidR="004A3A22">
        <w:t>N</w:t>
      </w:r>
      <w:r w:rsidRPr="00C02A37">
        <w:t xml:space="preserve">et </w:t>
      </w:r>
      <w:r w:rsidR="004A3A22">
        <w:t>Z</w:t>
      </w:r>
      <w:r w:rsidRPr="00C02A37">
        <w:t>ero strategy, we are dedicated to integrating environmental considerations into our travel decisions. This includes prioritising online hearings where feasible, opting for sustainable travel options, and minimising the carbon footprint associated with necessary travel.</w:t>
      </w:r>
      <w:r w:rsidR="000558CB">
        <w:t xml:space="preserve"> </w:t>
      </w:r>
      <w:r w:rsidRPr="00C02A37">
        <w:t>We will endeavour to balance our operational requirements with our responsibility to contribute to environmental sustainability.</w:t>
      </w:r>
      <w:bookmarkStart w:id="108" w:name="_Toc175740206"/>
    </w:p>
    <w:p w14:paraId="132089E9" w14:textId="6874285A" w:rsidR="00A26790" w:rsidRPr="00C02A37" w:rsidRDefault="00A26790" w:rsidP="00AC290E">
      <w:pPr>
        <w:pStyle w:val="Heading30"/>
      </w:pPr>
      <w:bookmarkStart w:id="109" w:name="_Toc175741384"/>
      <w:bookmarkStart w:id="110" w:name="_Toc175822577"/>
      <w:r w:rsidRPr="00C02A37">
        <w:t>A</w:t>
      </w:r>
      <w:r w:rsidR="00BA7257">
        <w:t>ction</w:t>
      </w:r>
      <w:bookmarkEnd w:id="108"/>
      <w:bookmarkEnd w:id="109"/>
      <w:bookmarkEnd w:id="110"/>
    </w:p>
    <w:p w14:paraId="7A1F96F4" w14:textId="502C4CCA" w:rsidR="00A26790" w:rsidRPr="005200CC" w:rsidRDefault="00A26790"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Update the CDPP’s travel policy to include climate considerations by 31 December 2024</w:t>
      </w:r>
      <w:r w:rsidR="006F1FF7" w:rsidRPr="005200CC">
        <w:rPr>
          <w:rFonts w:ascii="Calibri" w:hAnsi="Calibri" w:cs="Calibri"/>
        </w:rPr>
        <w:t>.</w:t>
      </w:r>
    </w:p>
    <w:p w14:paraId="1ADA4D6B" w14:textId="2AB7178F" w:rsidR="0005778C" w:rsidRPr="005200CC" w:rsidRDefault="00A26790"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Encourage travellers entitled to business class to consider economy class to minimise</w:t>
      </w:r>
      <w:r w:rsidR="00863AD4" w:rsidRPr="005200CC">
        <w:rPr>
          <w:rFonts w:ascii="Calibri" w:hAnsi="Calibri" w:cs="Calibri"/>
        </w:rPr>
        <w:t xml:space="preserve"> our</w:t>
      </w:r>
      <w:r w:rsidRPr="005200CC">
        <w:rPr>
          <w:rFonts w:ascii="Calibri" w:hAnsi="Calibri" w:cs="Calibri"/>
        </w:rPr>
        <w:t xml:space="preserve"> carbon emissions </w:t>
      </w:r>
      <w:r w:rsidR="00863AD4" w:rsidRPr="005200CC">
        <w:rPr>
          <w:rFonts w:ascii="Calibri" w:hAnsi="Calibri" w:cs="Calibri"/>
        </w:rPr>
        <w:t xml:space="preserve">footprint </w:t>
      </w:r>
      <w:r w:rsidRPr="005200CC">
        <w:rPr>
          <w:rFonts w:ascii="Calibri" w:hAnsi="Calibri" w:cs="Calibri"/>
        </w:rPr>
        <w:t>where feasible</w:t>
      </w:r>
      <w:r w:rsidR="006F1FF7" w:rsidRPr="005200CC">
        <w:rPr>
          <w:rFonts w:ascii="Calibri" w:hAnsi="Calibri" w:cs="Calibri"/>
        </w:rPr>
        <w:t>.</w:t>
      </w:r>
    </w:p>
    <w:p w14:paraId="6A5B7843" w14:textId="32A263C5" w:rsidR="00A26790" w:rsidRPr="005200CC" w:rsidRDefault="00A26790"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Encourage use of low-emission transport options where appropriate</w:t>
      </w:r>
      <w:r w:rsidR="006F1FF7" w:rsidRPr="005200CC">
        <w:rPr>
          <w:rFonts w:ascii="Calibri" w:hAnsi="Calibri" w:cs="Calibri"/>
        </w:rPr>
        <w:t>.</w:t>
      </w:r>
    </w:p>
    <w:p w14:paraId="7D8B0A4F" w14:textId="2F064474" w:rsidR="00A26790" w:rsidRPr="005200CC" w:rsidRDefault="00A26790"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5200CC">
        <w:rPr>
          <w:rFonts w:ascii="Calibri" w:hAnsi="Calibri" w:cs="Calibri"/>
        </w:rPr>
        <w:t xml:space="preserve">Encourage </w:t>
      </w:r>
      <w:r w:rsidR="004A6537" w:rsidRPr="005200CC">
        <w:rPr>
          <w:rFonts w:ascii="Calibri" w:hAnsi="Calibri" w:cs="Calibri"/>
        </w:rPr>
        <w:t xml:space="preserve">travellers to </w:t>
      </w:r>
      <w:r w:rsidRPr="005200CC">
        <w:rPr>
          <w:rFonts w:ascii="Calibri" w:hAnsi="Calibri" w:cs="Calibri"/>
        </w:rPr>
        <w:t>select hotels with NABERS ratings where available and suitable</w:t>
      </w:r>
      <w:r w:rsidR="006F1FF7" w:rsidRPr="005200CC">
        <w:rPr>
          <w:rFonts w:ascii="Calibri" w:hAnsi="Calibri" w:cs="Calibri"/>
        </w:rPr>
        <w:t>.</w:t>
      </w:r>
    </w:p>
    <w:p w14:paraId="2ECED243" w14:textId="1927DF18" w:rsidR="003E5B7F" w:rsidRPr="00C02A37" w:rsidRDefault="00FD6EA5" w:rsidP="00AC290E">
      <w:pPr>
        <w:spacing w:before="0" w:after="200" w:line="276" w:lineRule="auto"/>
      </w:pPr>
      <w:r>
        <w:br w:type="page"/>
      </w:r>
    </w:p>
    <w:p w14:paraId="7BAC10EE" w14:textId="458ED97F" w:rsidR="006C42DD" w:rsidRPr="00C02A37" w:rsidRDefault="00F62D27" w:rsidP="00AC290E">
      <w:pPr>
        <w:pStyle w:val="Boxedheading1"/>
      </w:pPr>
      <w:bookmarkStart w:id="111" w:name="_Toc175835648"/>
      <w:bookmarkStart w:id="112" w:name="_Toc175837393"/>
      <w:bookmarkStart w:id="113" w:name="_Toc175908687"/>
      <w:r>
        <w:lastRenderedPageBreak/>
        <w:t>Net Zero ICT</w:t>
      </w:r>
      <w:bookmarkEnd w:id="111"/>
      <w:bookmarkEnd w:id="112"/>
      <w:bookmarkEnd w:id="113"/>
    </w:p>
    <w:p w14:paraId="13403061" w14:textId="142A5F69" w:rsidR="004B25EB" w:rsidRPr="00C02A37" w:rsidRDefault="004B25EB" w:rsidP="00AC290E">
      <w:pPr>
        <w:pStyle w:val="Heading30"/>
      </w:pPr>
      <w:bookmarkStart w:id="114" w:name="_Toc175822579"/>
      <w:r w:rsidRPr="00C02A37">
        <w:t>Incorporating circular economy principles into ICT purchasing</w:t>
      </w:r>
      <w:bookmarkEnd w:id="114"/>
    </w:p>
    <w:p w14:paraId="798F0836" w14:textId="192256D2" w:rsidR="004B25EB" w:rsidRPr="00C02A37" w:rsidRDefault="004B25EB" w:rsidP="00AC290E">
      <w:r w:rsidRPr="00C02A37">
        <w:t>The C</w:t>
      </w:r>
      <w:r>
        <w:t>DPP</w:t>
      </w:r>
      <w:r w:rsidRPr="00C02A37">
        <w:t xml:space="preserve">’s server infrastructure is hosted </w:t>
      </w:r>
      <w:r>
        <w:t>off site in commercial data centres</w:t>
      </w:r>
      <w:r w:rsidR="00F75201">
        <w:t xml:space="preserve"> under </w:t>
      </w:r>
      <w:proofErr w:type="spellStart"/>
      <w:r w:rsidR="00F75201">
        <w:t>WoAG</w:t>
      </w:r>
      <w:proofErr w:type="spellEnd"/>
      <w:r w:rsidR="00F75201">
        <w:t xml:space="preserve"> service arrangements</w:t>
      </w:r>
      <w:r w:rsidRPr="00C02A37">
        <w:t xml:space="preserve">. </w:t>
      </w:r>
      <w:r w:rsidRPr="00341813">
        <w:t xml:space="preserve">The </w:t>
      </w:r>
      <w:r>
        <w:t xml:space="preserve">CDPP </w:t>
      </w:r>
      <w:r w:rsidRPr="00341813">
        <w:t xml:space="preserve">employs a cloud-first approach to procurement where server infrastructure and services are accessed from for-purpose, dedicated and energy efficient datacentres.  </w:t>
      </w:r>
      <w:r>
        <w:t xml:space="preserve">ICT purchase activity is driven through the Digital Transformation Agencies </w:t>
      </w:r>
      <w:proofErr w:type="spellStart"/>
      <w:r>
        <w:t>BuyICT</w:t>
      </w:r>
      <w:proofErr w:type="spellEnd"/>
      <w:r>
        <w:t xml:space="preserve"> panel where energy efficiency and environmental impact are considered as part of the procurement process. </w:t>
      </w:r>
      <w:r w:rsidRPr="00341813">
        <w:t xml:space="preserve"> </w:t>
      </w:r>
    </w:p>
    <w:p w14:paraId="7F8628C4" w14:textId="28783226" w:rsidR="004B25EB" w:rsidRDefault="004B25EB" w:rsidP="00AC290E">
      <w:r w:rsidRPr="00C02A37">
        <w:t>The C</w:t>
      </w:r>
      <w:r>
        <w:t>DPP</w:t>
      </w:r>
      <w:r w:rsidRPr="00C02A37">
        <w:t xml:space="preserve"> will incorporate circular economy principles into ICT purchasing to reduce embodied emission</w:t>
      </w:r>
      <w:r w:rsidR="009E1AD0">
        <w:t>s</w:t>
      </w:r>
      <w:r w:rsidRPr="00C02A37">
        <w:t xml:space="preserve"> of regularly upgraded ICT equipment. The C</w:t>
      </w:r>
      <w:r w:rsidR="00947FF4">
        <w:t>DPP</w:t>
      </w:r>
      <w:r w:rsidRPr="00C02A37">
        <w:t xml:space="preserve"> will consider products that are environmental, more durable over time and easy to repair and upgrade. This initiative will reduce the creation of e-waste and extend the product life, ultimately reducing emissions</w:t>
      </w:r>
      <w:r w:rsidR="00AC290E">
        <w:t>.</w:t>
      </w:r>
    </w:p>
    <w:p w14:paraId="295FB7B6" w14:textId="64E7D59D" w:rsidR="004B25EB" w:rsidRPr="00C02A37" w:rsidRDefault="004B25EB" w:rsidP="00AC290E">
      <w:pPr>
        <w:pStyle w:val="Heading30"/>
      </w:pPr>
      <w:bookmarkStart w:id="115" w:name="_Toc175740209"/>
      <w:bookmarkStart w:id="116" w:name="_Toc175741387"/>
      <w:bookmarkStart w:id="117" w:name="_Toc175822580"/>
      <w:r w:rsidRPr="00C02A37">
        <w:t>A</w:t>
      </w:r>
      <w:r w:rsidR="00BA7257">
        <w:t>ction</w:t>
      </w:r>
      <w:bookmarkEnd w:id="115"/>
      <w:bookmarkEnd w:id="116"/>
      <w:bookmarkEnd w:id="117"/>
    </w:p>
    <w:p w14:paraId="56605A92" w14:textId="7301D5E9" w:rsidR="000558CB" w:rsidRPr="00AC290E" w:rsidRDefault="004B25EB" w:rsidP="00AC290E">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946D4C">
        <w:rPr>
          <w:rFonts w:ascii="Calibri" w:hAnsi="Calibri" w:cs="Calibri"/>
        </w:rPr>
        <w:t>Investigate and educate ICT staff and buyers of alternative supply chain and product options to increase product lifecycle and reduce e-waste</w:t>
      </w:r>
      <w:r w:rsidR="00A52CF1" w:rsidRPr="00946D4C">
        <w:rPr>
          <w:rFonts w:ascii="Calibri" w:hAnsi="Calibri" w:cs="Calibri"/>
        </w:rPr>
        <w:t>.</w:t>
      </w:r>
    </w:p>
    <w:p w14:paraId="1DCC1617" w14:textId="04115BE5" w:rsidR="007D2C90" w:rsidRPr="00C02A37" w:rsidRDefault="00F62D27" w:rsidP="00AC290E">
      <w:pPr>
        <w:pStyle w:val="Boxedheading1"/>
      </w:pPr>
      <w:bookmarkStart w:id="118" w:name="_Toc175835649"/>
      <w:bookmarkStart w:id="119" w:name="_Toc175837394"/>
      <w:bookmarkStart w:id="120" w:name="_Toc175908688"/>
      <w:r>
        <w:t>People, Culture and Capability</w:t>
      </w:r>
      <w:bookmarkEnd w:id="118"/>
      <w:bookmarkEnd w:id="119"/>
      <w:bookmarkEnd w:id="120"/>
    </w:p>
    <w:p w14:paraId="7DC7ABF9" w14:textId="3E3173DF" w:rsidR="00A52CF1" w:rsidRPr="00C02A37" w:rsidRDefault="00A52CF1" w:rsidP="00AC290E">
      <w:pPr>
        <w:pStyle w:val="Heading30"/>
      </w:pPr>
      <w:bookmarkStart w:id="121" w:name="_Toc175822582"/>
      <w:r w:rsidRPr="00C02A37">
        <w:t>Uplifting capability across the C</w:t>
      </w:r>
      <w:r w:rsidR="00947FF4">
        <w:t>DPP</w:t>
      </w:r>
      <w:bookmarkEnd w:id="121"/>
    </w:p>
    <w:p w14:paraId="386AA29E" w14:textId="0637D577" w:rsidR="00A52CF1" w:rsidRPr="00C02A37" w:rsidRDefault="00A52CF1" w:rsidP="00AC290E">
      <w:r w:rsidRPr="00C02A37">
        <w:t>The C</w:t>
      </w:r>
      <w:r>
        <w:t>DPP</w:t>
      </w:r>
      <w:r w:rsidRPr="00C02A37">
        <w:t xml:space="preserve"> is committed to enhancing knowledge and skills regarding climate risks and</w:t>
      </w:r>
      <w:r>
        <w:t xml:space="preserve"> </w:t>
      </w:r>
      <w:r w:rsidRPr="00C02A37">
        <w:t>opportunities</w:t>
      </w:r>
      <w:r w:rsidR="00BE6C28">
        <w:t xml:space="preserve">, </w:t>
      </w:r>
      <w:r w:rsidRPr="00C02A37">
        <w:t xml:space="preserve">sustainable procurement across the </w:t>
      </w:r>
      <w:r>
        <w:t>CDPP</w:t>
      </w:r>
      <w:r w:rsidR="00BE6C28">
        <w:t>,</w:t>
      </w:r>
      <w:r w:rsidRPr="00C02A37">
        <w:t xml:space="preserve"> and embedding consideration in</w:t>
      </w:r>
      <w:r w:rsidR="00BE6C28">
        <w:t>to</w:t>
      </w:r>
      <w:r w:rsidRPr="00C02A37">
        <w:t xml:space="preserve"> day-to-day decision-</w:t>
      </w:r>
      <w:r>
        <w:t>m</w:t>
      </w:r>
      <w:r w:rsidRPr="00C02A37">
        <w:t>aking processes.</w:t>
      </w:r>
    </w:p>
    <w:p w14:paraId="6DED56F8" w14:textId="34326A8F" w:rsidR="00A52CF1" w:rsidRPr="00C02A37" w:rsidRDefault="00A52CF1" w:rsidP="00AC290E">
      <w:pPr>
        <w:pStyle w:val="Heading30"/>
      </w:pPr>
      <w:bookmarkStart w:id="122" w:name="_Toc175740212"/>
      <w:bookmarkStart w:id="123" w:name="_Toc175741390"/>
      <w:bookmarkStart w:id="124" w:name="_Toc175822583"/>
      <w:r w:rsidRPr="00C02A37">
        <w:t>A</w:t>
      </w:r>
      <w:r w:rsidR="00BA7257">
        <w:t>ction</w:t>
      </w:r>
      <w:bookmarkEnd w:id="122"/>
      <w:bookmarkEnd w:id="123"/>
      <w:bookmarkEnd w:id="124"/>
    </w:p>
    <w:p w14:paraId="504229A2" w14:textId="5DCFCEE6" w:rsidR="00055BF2" w:rsidRPr="00946D4C" w:rsidRDefault="00055BF2"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946D4C">
        <w:rPr>
          <w:rFonts w:ascii="Calibri" w:hAnsi="Calibri" w:cs="Calibri"/>
        </w:rPr>
        <w:t>Appoint a Chief Sustainability Officer within the CDPP, to champion a wholistic approach to sustainable operations and practices</w:t>
      </w:r>
      <w:r w:rsidR="006F1FF7" w:rsidRPr="00946D4C">
        <w:rPr>
          <w:rFonts w:ascii="Calibri" w:hAnsi="Calibri" w:cs="Calibri"/>
        </w:rPr>
        <w:t>.</w:t>
      </w:r>
    </w:p>
    <w:p w14:paraId="1CCC1A5A" w14:textId="0A9B07A2" w:rsidR="00C06D72" w:rsidRPr="00946D4C" w:rsidRDefault="006F3185" w:rsidP="00C324DF">
      <w:pPr>
        <w:pStyle w:val="ListParagraph"/>
        <w:numPr>
          <w:ilvl w:val="0"/>
          <w:numId w:val="16"/>
        </w:numPr>
        <w:autoSpaceDE w:val="0"/>
        <w:autoSpaceDN w:val="0"/>
        <w:adjustRightInd w:val="0"/>
        <w:spacing w:before="0" w:after="60"/>
        <w:ind w:left="714" w:hanging="357"/>
        <w:contextualSpacing w:val="0"/>
        <w:rPr>
          <w:rFonts w:ascii="Calibri" w:hAnsi="Calibri" w:cs="Calibri"/>
        </w:rPr>
      </w:pPr>
      <w:r w:rsidRPr="00946D4C">
        <w:rPr>
          <w:rFonts w:ascii="Calibri" w:hAnsi="Calibri" w:cs="Calibri"/>
        </w:rPr>
        <w:t>Develop a</w:t>
      </w:r>
      <w:r w:rsidR="00055BF2" w:rsidRPr="00946D4C">
        <w:rPr>
          <w:rFonts w:ascii="Calibri" w:hAnsi="Calibri" w:cs="Calibri"/>
        </w:rPr>
        <w:t>nd deliver a</w:t>
      </w:r>
      <w:r w:rsidRPr="00946D4C">
        <w:rPr>
          <w:rFonts w:ascii="Calibri" w:hAnsi="Calibri" w:cs="Calibri"/>
        </w:rPr>
        <w:t xml:space="preserve"> </w:t>
      </w:r>
      <w:r w:rsidR="006F1FF7" w:rsidRPr="00946D4C">
        <w:rPr>
          <w:rFonts w:ascii="Calibri" w:hAnsi="Calibri" w:cs="Calibri"/>
        </w:rPr>
        <w:t>c</w:t>
      </w:r>
      <w:r w:rsidRPr="00946D4C">
        <w:rPr>
          <w:rFonts w:ascii="Calibri" w:hAnsi="Calibri" w:cs="Calibri"/>
        </w:rPr>
        <w:t xml:space="preserve">ommunication </w:t>
      </w:r>
      <w:r w:rsidR="006F1FF7" w:rsidRPr="00946D4C">
        <w:rPr>
          <w:rFonts w:ascii="Calibri" w:hAnsi="Calibri" w:cs="Calibri"/>
        </w:rPr>
        <w:t>s</w:t>
      </w:r>
      <w:r w:rsidRPr="00946D4C">
        <w:rPr>
          <w:rFonts w:ascii="Calibri" w:hAnsi="Calibri" w:cs="Calibri"/>
        </w:rPr>
        <w:t xml:space="preserve">trategy to raise awareness of climate </w:t>
      </w:r>
      <w:r w:rsidR="00055BF2" w:rsidRPr="00946D4C">
        <w:rPr>
          <w:rFonts w:ascii="Calibri" w:hAnsi="Calibri" w:cs="Calibri"/>
        </w:rPr>
        <w:t>related topics</w:t>
      </w:r>
      <w:r w:rsidR="0073027C" w:rsidRPr="00946D4C">
        <w:rPr>
          <w:rFonts w:ascii="Calibri" w:hAnsi="Calibri" w:cs="Calibri"/>
        </w:rPr>
        <w:t xml:space="preserve"> by June 2025</w:t>
      </w:r>
      <w:r w:rsidR="006F1FF7" w:rsidRPr="00946D4C">
        <w:rPr>
          <w:rFonts w:ascii="Calibri" w:hAnsi="Calibri" w:cs="Calibri"/>
        </w:rPr>
        <w:t>.</w:t>
      </w:r>
    </w:p>
    <w:p w14:paraId="11A7FB7B" w14:textId="77777777" w:rsidR="000558CB" w:rsidRDefault="000558CB">
      <w:pPr>
        <w:spacing w:before="0" w:after="200" w:line="276" w:lineRule="auto"/>
        <w:rPr>
          <w:rFonts w:eastAsiaTheme="minorEastAsia"/>
          <w:b/>
          <w:bCs/>
          <w:caps/>
          <w:color w:val="0E374B" w:themeColor="accent1"/>
          <w:spacing w:val="15"/>
          <w:sz w:val="32"/>
          <w:szCs w:val="32"/>
        </w:rPr>
      </w:pPr>
      <w:r>
        <w:rPr>
          <w:color w:val="0E374B" w:themeColor="accent1"/>
          <w:sz w:val="32"/>
          <w:szCs w:val="32"/>
        </w:rPr>
        <w:br w:type="page"/>
      </w:r>
    </w:p>
    <w:p w14:paraId="4C85B16F" w14:textId="746763E3" w:rsidR="00A52CF1" w:rsidRPr="000558CB" w:rsidRDefault="00A52CF1" w:rsidP="00AC290E">
      <w:pPr>
        <w:pStyle w:val="Heading1"/>
      </w:pPr>
      <w:bookmarkStart w:id="125" w:name="_Toc175908689"/>
      <w:r w:rsidRPr="000558CB">
        <w:lastRenderedPageBreak/>
        <w:t>Definitions</w:t>
      </w:r>
      <w:bookmarkEnd w:id="125"/>
    </w:p>
    <w:tbl>
      <w:tblPr>
        <w:tblStyle w:val="TableGrid"/>
        <w:tblW w:w="0" w:type="auto"/>
        <w:tblBorders>
          <w:top w:val="single" w:sz="4" w:space="0" w:color="ADBBCA" w:themeColor="text2" w:themeTint="66"/>
          <w:left w:val="single" w:sz="4" w:space="0" w:color="ADBBCA" w:themeColor="text2" w:themeTint="66"/>
          <w:bottom w:val="single" w:sz="4" w:space="0" w:color="ADBBCA" w:themeColor="text2" w:themeTint="66"/>
          <w:right w:val="single" w:sz="4" w:space="0" w:color="ADBBCA" w:themeColor="text2" w:themeTint="66"/>
          <w:insideH w:val="single" w:sz="4" w:space="0" w:color="ADBBCA" w:themeColor="text2" w:themeTint="66"/>
          <w:insideV w:val="single" w:sz="4" w:space="0" w:color="ADBBCA" w:themeColor="text2" w:themeTint="66"/>
        </w:tblBorders>
        <w:tblLook w:val="04A0" w:firstRow="1" w:lastRow="0" w:firstColumn="1" w:lastColumn="0" w:noHBand="0" w:noVBand="1"/>
      </w:tblPr>
      <w:tblGrid>
        <w:gridCol w:w="1838"/>
        <w:gridCol w:w="7790"/>
      </w:tblGrid>
      <w:tr w:rsidR="00A52CF1" w:rsidRPr="000558CB" w14:paraId="1E36A097" w14:textId="77777777" w:rsidTr="00B37CCF">
        <w:tc>
          <w:tcPr>
            <w:tcW w:w="1838" w:type="dxa"/>
            <w:shd w:val="clear" w:color="auto" w:fill="0E374B" w:themeFill="accent1"/>
          </w:tcPr>
          <w:p w14:paraId="440170BE" w14:textId="243478A4" w:rsidR="00A52CF1" w:rsidRPr="00AC290E" w:rsidRDefault="00A52CF1" w:rsidP="00A52CF1">
            <w:pPr>
              <w:pStyle w:val="BodyText1"/>
              <w:rPr>
                <w:rFonts w:ascii="Calibri" w:hAnsi="Calibri" w:cs="Calibri"/>
                <w:b/>
                <w:bCs/>
                <w:color w:val="FFFFFF" w:themeColor="background2"/>
              </w:rPr>
            </w:pPr>
            <w:r w:rsidRPr="00AC290E">
              <w:rPr>
                <w:b/>
                <w:bCs/>
                <w:color w:val="FFFFFF" w:themeColor="background2"/>
              </w:rPr>
              <w:t>Circular economy</w:t>
            </w:r>
          </w:p>
        </w:tc>
        <w:tc>
          <w:tcPr>
            <w:tcW w:w="7790" w:type="dxa"/>
          </w:tcPr>
          <w:p w14:paraId="064EF5C1" w14:textId="6CF7E619" w:rsidR="00A52CF1" w:rsidRPr="000558CB" w:rsidRDefault="00A52CF1" w:rsidP="00F70F2F">
            <w:pPr>
              <w:pStyle w:val="BodyText1"/>
            </w:pPr>
            <w:r w:rsidRPr="000558CB">
              <w:t xml:space="preserve">The circular economy is an economic model for achieving sustainable and productive use of resources. In practice it requires </w:t>
            </w:r>
            <w:bookmarkStart w:id="126" w:name="_Hlk175585736"/>
            <w:r w:rsidRPr="000558CB">
              <w:t>reducing the use of new materials, making materials durable, repairable and safe, and collecting, reusing and recycling materials.</w:t>
            </w:r>
            <w:bookmarkEnd w:id="126"/>
          </w:p>
        </w:tc>
      </w:tr>
      <w:tr w:rsidR="00A52CF1" w:rsidRPr="000558CB" w14:paraId="0B29568E" w14:textId="77777777" w:rsidTr="00B37CCF">
        <w:tc>
          <w:tcPr>
            <w:tcW w:w="1838" w:type="dxa"/>
            <w:shd w:val="clear" w:color="auto" w:fill="0E374B" w:themeFill="accent1"/>
          </w:tcPr>
          <w:p w14:paraId="30BB9287" w14:textId="5738E351" w:rsidR="00A52CF1" w:rsidRPr="00AC290E" w:rsidRDefault="00A52CF1" w:rsidP="00A52CF1">
            <w:pPr>
              <w:pStyle w:val="BodyText1"/>
              <w:rPr>
                <w:b/>
                <w:bCs/>
                <w:color w:val="FFFFFF" w:themeColor="background2"/>
              </w:rPr>
            </w:pPr>
            <w:r w:rsidRPr="00AC290E">
              <w:rPr>
                <w:b/>
                <w:bCs/>
                <w:color w:val="FFFFFF" w:themeColor="background2"/>
              </w:rPr>
              <w:t>Embodied emissions</w:t>
            </w:r>
          </w:p>
        </w:tc>
        <w:tc>
          <w:tcPr>
            <w:tcW w:w="7790" w:type="dxa"/>
          </w:tcPr>
          <w:p w14:paraId="26F11E6F" w14:textId="17028AA8" w:rsidR="00A52CF1" w:rsidRPr="000558CB" w:rsidRDefault="00A52CF1" w:rsidP="00F70F2F">
            <w:pPr>
              <w:pStyle w:val="BodyText1"/>
            </w:pPr>
            <w:r w:rsidRPr="000558CB">
              <w:t>All greenhouse gas emissions released as part of creating and making a product ready for use.</w:t>
            </w:r>
          </w:p>
        </w:tc>
      </w:tr>
      <w:tr w:rsidR="00A52CF1" w:rsidRPr="000558CB" w14:paraId="441666FE" w14:textId="77777777" w:rsidTr="00B37CCF">
        <w:tc>
          <w:tcPr>
            <w:tcW w:w="1838" w:type="dxa"/>
            <w:shd w:val="clear" w:color="auto" w:fill="0E374B" w:themeFill="accent1"/>
          </w:tcPr>
          <w:p w14:paraId="4BEA2AFA" w14:textId="4B7A0AB6" w:rsidR="00A52CF1" w:rsidRPr="00AC290E" w:rsidRDefault="00A52CF1" w:rsidP="00F70F2F">
            <w:pPr>
              <w:pStyle w:val="BodyText1"/>
              <w:rPr>
                <w:b/>
                <w:bCs/>
                <w:color w:val="FFFFFF" w:themeColor="background2"/>
              </w:rPr>
            </w:pPr>
            <w:r w:rsidRPr="00AC290E">
              <w:rPr>
                <w:b/>
                <w:bCs/>
                <w:color w:val="FFFFFF" w:themeColor="background2"/>
              </w:rPr>
              <w:t>Greenhouse gases and greenhouse gas emissions</w:t>
            </w:r>
          </w:p>
        </w:tc>
        <w:tc>
          <w:tcPr>
            <w:tcW w:w="7790" w:type="dxa"/>
          </w:tcPr>
          <w:p w14:paraId="7C685724" w14:textId="084FC98C" w:rsidR="00A52CF1" w:rsidRPr="000558CB" w:rsidRDefault="00A52CF1" w:rsidP="00A52CF1">
            <w:pPr>
              <w:pStyle w:val="BodyText1"/>
            </w:pPr>
            <w:r w:rsidRPr="000558CB">
              <w:t>Greenhouse gases are gases in the atmosphere such as water vapour, carbon dioxide, methane and nitrous oxide that can absorb infrared radiation, trapping heat in the atmosphere.</w:t>
            </w:r>
          </w:p>
          <w:p w14:paraId="717F84CB" w14:textId="5B0A128B" w:rsidR="00A52CF1" w:rsidRPr="000558CB" w:rsidRDefault="00A52CF1" w:rsidP="00C02A37">
            <w:pPr>
              <w:pStyle w:val="BodyText1"/>
              <w:spacing w:line="276" w:lineRule="auto"/>
            </w:pPr>
            <w:r w:rsidRPr="000558CB">
              <w:t>This greenhouse effect means that emissions of greenhouse gases due to human activity cause global warming. For more information, visit the Intergovernmental Panel on Climate Change website.</w:t>
            </w:r>
          </w:p>
        </w:tc>
      </w:tr>
      <w:tr w:rsidR="00A52CF1" w:rsidRPr="000558CB" w14:paraId="4327D04C" w14:textId="77777777" w:rsidTr="00B37CCF">
        <w:tc>
          <w:tcPr>
            <w:tcW w:w="1838" w:type="dxa"/>
            <w:shd w:val="clear" w:color="auto" w:fill="0E374B" w:themeFill="accent1"/>
          </w:tcPr>
          <w:p w14:paraId="2A79F2DE" w14:textId="0D311B1F" w:rsidR="00A52CF1" w:rsidRPr="00AC290E" w:rsidRDefault="00A52CF1" w:rsidP="00F70F2F">
            <w:pPr>
              <w:pStyle w:val="BodyText1"/>
              <w:rPr>
                <w:b/>
                <w:bCs/>
                <w:color w:val="FFFFFF" w:themeColor="background2"/>
              </w:rPr>
            </w:pPr>
            <w:r w:rsidRPr="00AC290E">
              <w:rPr>
                <w:b/>
                <w:bCs/>
                <w:color w:val="FFFFFF" w:themeColor="background2"/>
              </w:rPr>
              <w:t>National Australian</w:t>
            </w:r>
            <w:r w:rsidR="00F70F2F" w:rsidRPr="00AC290E">
              <w:rPr>
                <w:b/>
                <w:bCs/>
                <w:color w:val="FFFFFF" w:themeColor="background2"/>
              </w:rPr>
              <w:t xml:space="preserve"> </w:t>
            </w:r>
            <w:r w:rsidRPr="00AC290E">
              <w:rPr>
                <w:b/>
                <w:bCs/>
                <w:color w:val="FFFFFF" w:themeColor="background2"/>
              </w:rPr>
              <w:t>Built Environment</w:t>
            </w:r>
            <w:r w:rsidR="00F70F2F" w:rsidRPr="00AC290E">
              <w:rPr>
                <w:b/>
                <w:bCs/>
                <w:color w:val="FFFFFF" w:themeColor="background2"/>
              </w:rPr>
              <w:t xml:space="preserve"> </w:t>
            </w:r>
            <w:r w:rsidRPr="00AC290E">
              <w:rPr>
                <w:b/>
                <w:bCs/>
                <w:color w:val="FFFFFF" w:themeColor="background2"/>
              </w:rPr>
              <w:t>Rating System</w:t>
            </w:r>
            <w:r w:rsidR="00F70F2F" w:rsidRPr="00AC290E">
              <w:rPr>
                <w:b/>
                <w:bCs/>
                <w:color w:val="FFFFFF" w:themeColor="background2"/>
              </w:rPr>
              <w:t xml:space="preserve"> </w:t>
            </w:r>
            <w:r w:rsidRPr="00AC290E">
              <w:rPr>
                <w:b/>
                <w:bCs/>
                <w:color w:val="FFFFFF" w:themeColor="background2"/>
              </w:rPr>
              <w:t>(NABERS) Energy</w:t>
            </w:r>
            <w:r w:rsidR="00F70F2F" w:rsidRPr="00AC290E">
              <w:rPr>
                <w:b/>
                <w:bCs/>
                <w:color w:val="FFFFFF" w:themeColor="background2"/>
              </w:rPr>
              <w:t xml:space="preserve"> </w:t>
            </w:r>
            <w:r w:rsidRPr="00AC290E">
              <w:rPr>
                <w:b/>
                <w:bCs/>
                <w:color w:val="FFFFFF" w:themeColor="background2"/>
              </w:rPr>
              <w:t>Star rating</w:t>
            </w:r>
          </w:p>
        </w:tc>
        <w:tc>
          <w:tcPr>
            <w:tcW w:w="7790" w:type="dxa"/>
          </w:tcPr>
          <w:p w14:paraId="010B23FC" w14:textId="77777777" w:rsidR="00037261" w:rsidRDefault="00A52CF1" w:rsidP="00A52CF1">
            <w:pPr>
              <w:pStyle w:val="BodyText1"/>
            </w:pPr>
            <w:r w:rsidRPr="000558CB">
              <w:t>The NABERS Energy Star rating is a performance rating tool that compares the energy</w:t>
            </w:r>
            <w:r w:rsidR="00F70F2F" w:rsidRPr="000558CB">
              <w:t xml:space="preserve"> </w:t>
            </w:r>
            <w:r w:rsidRPr="000558CB">
              <w:t>efficiency of like-for-like buildings against a set of benchmarks and then awards the</w:t>
            </w:r>
            <w:r w:rsidR="00F70F2F" w:rsidRPr="000558CB">
              <w:t xml:space="preserve"> </w:t>
            </w:r>
            <w:r w:rsidRPr="000558CB">
              <w:t xml:space="preserve">building a star rating between 1-6. </w:t>
            </w:r>
          </w:p>
          <w:p w14:paraId="50DD9AC5" w14:textId="578E16BD" w:rsidR="00A52CF1" w:rsidRPr="000558CB" w:rsidRDefault="00A52CF1" w:rsidP="00A52CF1">
            <w:pPr>
              <w:pStyle w:val="BodyText1"/>
            </w:pPr>
            <w:r w:rsidRPr="000558CB">
              <w:t>The scope of the rating can extend to:</w:t>
            </w:r>
          </w:p>
          <w:p w14:paraId="6926683C" w14:textId="7053F9B6" w:rsidR="00A52CF1" w:rsidRPr="000558CB" w:rsidRDefault="00A52CF1" w:rsidP="00037261">
            <w:pPr>
              <w:pStyle w:val="Bullet1"/>
            </w:pPr>
            <w:r w:rsidRPr="000558CB">
              <w:t>Base building: the common areas and systems of a building typically controlled</w:t>
            </w:r>
            <w:r w:rsidR="00F70F2F" w:rsidRPr="000558CB">
              <w:t xml:space="preserve"> </w:t>
            </w:r>
            <w:r w:rsidRPr="000558CB">
              <w:t>and operated by a landlord (e.g. lifts, building entry and security lighting, building</w:t>
            </w:r>
            <w:r w:rsidR="00F70F2F" w:rsidRPr="000558CB">
              <w:t xml:space="preserve"> </w:t>
            </w:r>
            <w:r w:rsidRPr="000558CB">
              <w:t>wide air conditioning).</w:t>
            </w:r>
          </w:p>
          <w:p w14:paraId="34F61EF8" w14:textId="33C8DD82" w:rsidR="00A52CF1" w:rsidRPr="000558CB" w:rsidRDefault="00A52CF1" w:rsidP="00037261">
            <w:pPr>
              <w:pStyle w:val="Bullet1"/>
            </w:pPr>
            <w:r w:rsidRPr="000558CB">
              <w:t>Tenancy: the areas and systems of a building for the use of the tenant</w:t>
            </w:r>
            <w:r w:rsidR="00F70F2F" w:rsidRPr="000558CB">
              <w:t xml:space="preserve"> </w:t>
            </w:r>
            <w:r w:rsidR="00037261">
              <w:br/>
            </w:r>
            <w:r w:rsidRPr="000558CB">
              <w:t>(e.g. tenanted floor space, including lighting and appliances).</w:t>
            </w:r>
          </w:p>
          <w:p w14:paraId="23670B43" w14:textId="2990CD71" w:rsidR="00A52CF1" w:rsidRPr="000558CB" w:rsidRDefault="00A52CF1" w:rsidP="00037261">
            <w:pPr>
              <w:pStyle w:val="Bullet1"/>
            </w:pPr>
            <w:r w:rsidRPr="000558CB">
              <w:t>Whole building: includes both the base building and tenancy, and so largely</w:t>
            </w:r>
            <w:r w:rsidR="00F70F2F" w:rsidRPr="000558CB">
              <w:t xml:space="preserve"> </w:t>
            </w:r>
            <w:r w:rsidRPr="000558CB">
              <w:t>covers</w:t>
            </w:r>
            <w:r w:rsidR="00F70F2F" w:rsidRPr="000558CB">
              <w:t xml:space="preserve"> </w:t>
            </w:r>
            <w:r w:rsidRPr="000558CB">
              <w:t>situations where the tenant leases the entire building.</w:t>
            </w:r>
          </w:p>
        </w:tc>
      </w:tr>
      <w:tr w:rsidR="00A52CF1" w:rsidRPr="000558CB" w14:paraId="773BA866" w14:textId="77777777" w:rsidTr="00B37CCF">
        <w:tc>
          <w:tcPr>
            <w:tcW w:w="1838" w:type="dxa"/>
            <w:shd w:val="clear" w:color="auto" w:fill="0E374B" w:themeFill="accent1"/>
          </w:tcPr>
          <w:p w14:paraId="696ECDF8" w14:textId="7CA6EC77" w:rsidR="00A52CF1" w:rsidRPr="00AC290E" w:rsidRDefault="00F70F2F" w:rsidP="00F70F2F">
            <w:pPr>
              <w:pStyle w:val="BodyText1"/>
              <w:rPr>
                <w:b/>
                <w:bCs/>
                <w:color w:val="FFFFFF" w:themeColor="background2"/>
              </w:rPr>
            </w:pPr>
            <w:r w:rsidRPr="00AC290E">
              <w:rPr>
                <w:b/>
                <w:bCs/>
                <w:color w:val="FFFFFF" w:themeColor="background2"/>
              </w:rPr>
              <w:t>Net Zero by 2030 / Net Zero 2030</w:t>
            </w:r>
          </w:p>
        </w:tc>
        <w:tc>
          <w:tcPr>
            <w:tcW w:w="7790" w:type="dxa"/>
          </w:tcPr>
          <w:p w14:paraId="5AE0A58B" w14:textId="2BEBB1EA" w:rsidR="00A52CF1" w:rsidRPr="000558CB" w:rsidRDefault="00F70F2F" w:rsidP="00F70F2F">
            <w:pPr>
              <w:pStyle w:val="BodyText1"/>
            </w:pPr>
            <w:r w:rsidRPr="000558CB">
              <w:t>A target set by the Australian Government to achieve net zero greenhouse gas emissions from government operations by the year 2030.</w:t>
            </w:r>
          </w:p>
        </w:tc>
      </w:tr>
      <w:tr w:rsidR="00A52CF1" w:rsidRPr="000558CB" w14:paraId="29C950B0" w14:textId="77777777" w:rsidTr="00B37CCF">
        <w:tc>
          <w:tcPr>
            <w:tcW w:w="1838" w:type="dxa"/>
            <w:shd w:val="clear" w:color="auto" w:fill="0E374B" w:themeFill="accent1"/>
          </w:tcPr>
          <w:p w14:paraId="46B84844" w14:textId="340447B5" w:rsidR="00A52CF1" w:rsidRPr="00AC290E" w:rsidRDefault="00F70F2F" w:rsidP="00A52CF1">
            <w:pPr>
              <w:pStyle w:val="BodyText1"/>
              <w:rPr>
                <w:b/>
                <w:bCs/>
                <w:color w:val="FFFFFF" w:themeColor="background2"/>
              </w:rPr>
            </w:pPr>
            <w:r w:rsidRPr="00AC290E">
              <w:rPr>
                <w:b/>
                <w:bCs/>
                <w:color w:val="FFFFFF" w:themeColor="background2"/>
              </w:rPr>
              <w:t>Office space</w:t>
            </w:r>
          </w:p>
        </w:tc>
        <w:tc>
          <w:tcPr>
            <w:tcW w:w="7790" w:type="dxa"/>
          </w:tcPr>
          <w:p w14:paraId="05730EFB" w14:textId="77777777" w:rsidR="00037261" w:rsidRDefault="00F70F2F" w:rsidP="00F70F2F">
            <w:pPr>
              <w:pStyle w:val="BodyText1"/>
            </w:pPr>
            <w:r w:rsidRPr="000558CB">
              <w:t xml:space="preserve">A room or rooms in a building that provide suitable space for office operations. A building is not considered primarily an office property if 50% or more of the leased or owned building is considered non-office. </w:t>
            </w:r>
          </w:p>
          <w:p w14:paraId="20944093" w14:textId="77777777" w:rsidR="00037261" w:rsidRDefault="00F70F2F" w:rsidP="00F70F2F">
            <w:pPr>
              <w:pStyle w:val="BodyText1"/>
            </w:pPr>
            <w:r w:rsidRPr="000558CB">
              <w:t xml:space="preserve">Further guidance will be produced to specify non-office categories. Noting that if a premise is not primarily an office space, office requirements will apply to the office area if it has greater than 1,000sqm of office space. </w:t>
            </w:r>
          </w:p>
          <w:p w14:paraId="26B9323F" w14:textId="2A127160" w:rsidR="00A52CF1" w:rsidRPr="000558CB" w:rsidRDefault="00F70F2F" w:rsidP="00F70F2F">
            <w:pPr>
              <w:pStyle w:val="BodyText1"/>
            </w:pPr>
            <w:r w:rsidRPr="000558CB">
              <w:t>For more information, see Leased office accommodation on the Department of Finance website.</w:t>
            </w:r>
          </w:p>
        </w:tc>
      </w:tr>
      <w:tr w:rsidR="00A52CF1" w:rsidRPr="000558CB" w14:paraId="453921B4" w14:textId="77777777" w:rsidTr="00B37CCF">
        <w:tc>
          <w:tcPr>
            <w:tcW w:w="1838" w:type="dxa"/>
            <w:shd w:val="clear" w:color="auto" w:fill="0E374B" w:themeFill="accent1"/>
          </w:tcPr>
          <w:p w14:paraId="2B293373" w14:textId="4492A71D" w:rsidR="00A52CF1" w:rsidRPr="000558CB" w:rsidRDefault="00F70F2F" w:rsidP="00F70F2F">
            <w:pPr>
              <w:pStyle w:val="BodyText1"/>
              <w:rPr>
                <w:b/>
                <w:bCs/>
              </w:rPr>
            </w:pPr>
            <w:r w:rsidRPr="000558CB">
              <w:rPr>
                <w:b/>
                <w:bCs/>
              </w:rPr>
              <w:t>Property Service Providers (PSPs)</w:t>
            </w:r>
          </w:p>
        </w:tc>
        <w:tc>
          <w:tcPr>
            <w:tcW w:w="7790" w:type="dxa"/>
          </w:tcPr>
          <w:p w14:paraId="69A911E5" w14:textId="77777777" w:rsidR="00037261" w:rsidRDefault="00F70F2F" w:rsidP="00F70F2F">
            <w:pPr>
              <w:pStyle w:val="BodyText1"/>
            </w:pPr>
            <w:r w:rsidRPr="000558CB">
              <w:t xml:space="preserve">Outsourced providers responsible for delivering leasing services, property and facilities management services and ancillary services to Commonwealth entities under the Property Services Co-ordinated Procurement Arrangements. </w:t>
            </w:r>
          </w:p>
          <w:p w14:paraId="66A78F80" w14:textId="727E12ED" w:rsidR="00A52CF1" w:rsidRPr="000558CB" w:rsidRDefault="00F70F2F" w:rsidP="00F70F2F">
            <w:pPr>
              <w:pStyle w:val="BodyText1"/>
            </w:pPr>
            <w:r w:rsidRPr="000558CB">
              <w:t>For more information, visit Property Services Coordinated Procurement on the Department of Finance website.</w:t>
            </w:r>
          </w:p>
        </w:tc>
      </w:tr>
    </w:tbl>
    <w:p w14:paraId="5B7485EE" w14:textId="77777777" w:rsidR="000C3A89" w:rsidRDefault="000C3A89">
      <w:r>
        <w:br w:type="page"/>
      </w:r>
    </w:p>
    <w:tbl>
      <w:tblPr>
        <w:tblStyle w:val="TableGrid"/>
        <w:tblW w:w="0" w:type="auto"/>
        <w:tblLook w:val="04A0" w:firstRow="1" w:lastRow="0" w:firstColumn="1" w:lastColumn="0" w:noHBand="0" w:noVBand="1"/>
      </w:tblPr>
      <w:tblGrid>
        <w:gridCol w:w="1838"/>
        <w:gridCol w:w="7790"/>
      </w:tblGrid>
      <w:tr w:rsidR="00A52CF1" w:rsidRPr="000558CB" w14:paraId="09FB841F" w14:textId="77777777" w:rsidTr="00B37CCF">
        <w:tc>
          <w:tcPr>
            <w:tcW w:w="1838" w:type="dxa"/>
            <w:shd w:val="clear" w:color="auto" w:fill="0E374B" w:themeFill="accent1"/>
          </w:tcPr>
          <w:p w14:paraId="3BCEC810" w14:textId="726302EF" w:rsidR="00A52CF1" w:rsidRPr="00B37CCF" w:rsidRDefault="00F70F2F" w:rsidP="00A52CF1">
            <w:pPr>
              <w:pStyle w:val="BodyText1"/>
              <w:rPr>
                <w:b/>
                <w:bCs/>
                <w:color w:val="FFFFFF" w:themeColor="background2"/>
              </w:rPr>
            </w:pPr>
            <w:r w:rsidRPr="00B37CCF">
              <w:rPr>
                <w:b/>
                <w:bCs/>
                <w:color w:val="FFFFFF" w:themeColor="background2"/>
              </w:rPr>
              <w:lastRenderedPageBreak/>
              <w:t>Renewable electricity</w:t>
            </w:r>
          </w:p>
        </w:tc>
        <w:tc>
          <w:tcPr>
            <w:tcW w:w="7790" w:type="dxa"/>
          </w:tcPr>
          <w:p w14:paraId="5CEB2C17" w14:textId="3BE6A14A" w:rsidR="000558CB" w:rsidRPr="000558CB" w:rsidRDefault="00F70F2F" w:rsidP="00F70F2F">
            <w:pPr>
              <w:pStyle w:val="BodyText1"/>
            </w:pPr>
            <w:r w:rsidRPr="000558CB">
              <w:t xml:space="preserve">Electricity generated from renewable sources without the production of greenhouse gases or other toxic or environmentally damaging by-products. This electricity can also be created through the reduction of net greenhouse gases (e.g. the burning of methane which produces carbon dioxide but reduces the net greenhouse effect by a factor of 80 compared to allowing the methane to escape to the atmosphere). </w:t>
            </w:r>
          </w:p>
          <w:p w14:paraId="06DDE735" w14:textId="0D38F3BC" w:rsidR="00A52CF1" w:rsidRPr="000558CB" w:rsidRDefault="00F70F2F" w:rsidP="00F70F2F">
            <w:pPr>
              <w:pStyle w:val="BodyText1"/>
            </w:pPr>
            <w:r w:rsidRPr="000558CB">
              <w:t xml:space="preserve">Renewable electricity includes, but is not limited to, various types of solar generation, wind energy, hydroelectricity, stored energy from renewable sources, geothermal </w:t>
            </w:r>
            <w:proofErr w:type="gramStart"/>
            <w:r w:rsidRPr="000558CB">
              <w:t>generation</w:t>
            </w:r>
            <w:proofErr w:type="gramEnd"/>
            <w:r w:rsidRPr="000558CB">
              <w:t xml:space="preserve"> and wave energy generation. Electricity from “waste-to-energy” (where it is the incineration of domestic and industrial mixed garbage) does not fall under this definition due to the adverse environmental impacts of the toxic chemicals released.</w:t>
            </w:r>
          </w:p>
        </w:tc>
      </w:tr>
      <w:tr w:rsidR="00F70F2F" w:rsidRPr="000558CB" w14:paraId="49F5E539" w14:textId="77777777" w:rsidTr="00B37CCF">
        <w:tc>
          <w:tcPr>
            <w:tcW w:w="1838" w:type="dxa"/>
            <w:shd w:val="clear" w:color="auto" w:fill="0E374B" w:themeFill="accent1"/>
          </w:tcPr>
          <w:p w14:paraId="572DEA9C" w14:textId="45D15C40" w:rsidR="00F70F2F" w:rsidRPr="00B37CCF" w:rsidRDefault="00F70F2F" w:rsidP="00F70F2F">
            <w:pPr>
              <w:pStyle w:val="BodyText1"/>
              <w:rPr>
                <w:b/>
                <w:bCs/>
                <w:color w:val="FFFFFF" w:themeColor="background2"/>
              </w:rPr>
            </w:pPr>
            <w:r w:rsidRPr="00B37CCF">
              <w:rPr>
                <w:b/>
                <w:bCs/>
                <w:color w:val="FFFFFF" w:themeColor="background2"/>
              </w:rPr>
              <w:t>Scope 1, 2 and 3 emissions</w:t>
            </w:r>
          </w:p>
        </w:tc>
        <w:tc>
          <w:tcPr>
            <w:tcW w:w="7790" w:type="dxa"/>
          </w:tcPr>
          <w:p w14:paraId="0A28078F" w14:textId="45DD087B" w:rsidR="00F70F2F" w:rsidRPr="000558CB" w:rsidRDefault="00F70F2F">
            <w:pPr>
              <w:pStyle w:val="BodyText1"/>
            </w:pPr>
            <w:r w:rsidRPr="000558CB">
              <w:t>Scope 1 emissions reflect emissions from sources owned or controlled by Government, including the stationary combustion of fuels (boilers, generators), and transportation (vehicle fleet).</w:t>
            </w:r>
          </w:p>
          <w:p w14:paraId="614070B2" w14:textId="5E83933C" w:rsidR="00F70F2F" w:rsidRPr="000558CB" w:rsidRDefault="00F70F2F">
            <w:pPr>
              <w:pStyle w:val="BodyText1"/>
            </w:pPr>
            <w:r w:rsidRPr="000558CB">
              <w:t>Scope 2 emissions are indirect emissions which occur because of the activities that generate electricity, which is consumed by an entity, but is generated outside that entity’s boundaries. They are physically produced by the burning of fossil fuels by the generator of the electricity.</w:t>
            </w:r>
          </w:p>
          <w:p w14:paraId="178E523E" w14:textId="12130662" w:rsidR="00F70F2F" w:rsidRPr="000558CB" w:rsidRDefault="00F70F2F" w:rsidP="00F70F2F">
            <w:pPr>
              <w:pStyle w:val="BodyText1"/>
            </w:pPr>
            <w:r w:rsidRPr="000558CB">
              <w:t>Scope 3 emissions reflect other indirect emissions produced through Government activities.</w:t>
            </w:r>
          </w:p>
        </w:tc>
      </w:tr>
      <w:tr w:rsidR="00F70F2F" w:rsidRPr="000558CB" w14:paraId="07FF039A" w14:textId="77777777" w:rsidTr="00B37CCF">
        <w:tc>
          <w:tcPr>
            <w:tcW w:w="1838" w:type="dxa"/>
            <w:shd w:val="clear" w:color="auto" w:fill="0E374B" w:themeFill="accent1"/>
          </w:tcPr>
          <w:p w14:paraId="7F409B55" w14:textId="6131423B" w:rsidR="00F70F2F" w:rsidRPr="00B37CCF" w:rsidRDefault="00F70F2F" w:rsidP="00F70F2F">
            <w:pPr>
              <w:pStyle w:val="BodyText1"/>
              <w:rPr>
                <w:b/>
                <w:bCs/>
                <w:color w:val="FFFFFF" w:themeColor="background2"/>
              </w:rPr>
            </w:pPr>
            <w:r w:rsidRPr="00B37CCF">
              <w:rPr>
                <w:b/>
                <w:bCs/>
                <w:color w:val="FFFFFF" w:themeColor="background2"/>
              </w:rPr>
              <w:t>Whole-of-Australian-Government arrangement</w:t>
            </w:r>
          </w:p>
        </w:tc>
        <w:tc>
          <w:tcPr>
            <w:tcW w:w="7790" w:type="dxa"/>
          </w:tcPr>
          <w:p w14:paraId="6A1BFE85" w14:textId="77777777" w:rsidR="00037261" w:rsidRDefault="00F70F2F" w:rsidP="00F70F2F">
            <w:pPr>
              <w:pStyle w:val="BodyText1"/>
            </w:pPr>
            <w:r w:rsidRPr="000558CB">
              <w:t xml:space="preserve">This document relates to the Federal or Australian Government. </w:t>
            </w:r>
          </w:p>
          <w:p w14:paraId="6C941538" w14:textId="19C65E4A" w:rsidR="00F70F2F" w:rsidRPr="000558CB" w:rsidRDefault="00F70F2F" w:rsidP="00F70F2F">
            <w:pPr>
              <w:pStyle w:val="BodyText1"/>
            </w:pPr>
            <w:r w:rsidRPr="000558CB">
              <w:t>At the Australian Government level these procurement arrangements are often called ‘Whole-of-Australian-Government’ (WoAG) arrangements to differentiate from State Government arrangements. WoAG arrangements can be mandated for certain Commonwealth entities or can be ‘cooperative’, which is not mandatory.</w:t>
            </w:r>
          </w:p>
        </w:tc>
      </w:tr>
    </w:tbl>
    <w:p w14:paraId="43C19F04" w14:textId="77777777" w:rsidR="00A52CF1" w:rsidRDefault="00A52CF1" w:rsidP="00A52CF1">
      <w:pPr>
        <w:pStyle w:val="BodyText1"/>
      </w:pPr>
    </w:p>
    <w:p w14:paraId="42614E6A" w14:textId="77777777" w:rsidR="00A52CF1" w:rsidRDefault="00A52CF1" w:rsidP="00A52CF1">
      <w:pPr>
        <w:pStyle w:val="BodyText1"/>
      </w:pPr>
    </w:p>
    <w:p w14:paraId="561BDBA1" w14:textId="69191A9C" w:rsidR="00A52CF1" w:rsidRDefault="00A52CF1" w:rsidP="00A52CF1">
      <w:pPr>
        <w:pStyle w:val="BodyText1"/>
      </w:pPr>
    </w:p>
    <w:sectPr w:rsidR="00A52CF1" w:rsidSect="00D414E7">
      <w:headerReference w:type="default" r:id="rId17"/>
      <w:footerReference w:type="default" r:id="rId18"/>
      <w:headerReference w:type="first" r:id="rId19"/>
      <w:pgSz w:w="11906" w:h="16838"/>
      <w:pgMar w:top="1134" w:right="1134" w:bottom="1134" w:left="1134" w:header="34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36EFB" w14:textId="77777777" w:rsidR="00DB538F" w:rsidRDefault="00DB538F" w:rsidP="006A44C1">
      <w:pPr>
        <w:spacing w:before="0" w:after="0"/>
      </w:pPr>
      <w:r>
        <w:separator/>
      </w:r>
    </w:p>
  </w:endnote>
  <w:endnote w:type="continuationSeparator" w:id="0">
    <w:p w14:paraId="73EB244E" w14:textId="77777777" w:rsidR="00DB538F" w:rsidRDefault="00DB538F" w:rsidP="006A44C1">
      <w:pPr>
        <w:spacing w:before="0" w:after="0"/>
      </w:pPr>
      <w:r>
        <w:continuationSeparator/>
      </w:r>
    </w:p>
  </w:endnote>
  <w:endnote w:type="continuationNotice" w:id="1">
    <w:p w14:paraId="13F45056" w14:textId="77777777" w:rsidR="00DB538F" w:rsidRDefault="00DB53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45 Light">
    <w:altName w:val="Calibri"/>
    <w:charset w:val="00"/>
    <w:family w:val="auto"/>
    <w:pitch w:val="variable"/>
    <w:sig w:usb0="8000002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521320"/>
      <w:docPartObj>
        <w:docPartGallery w:val="Page Numbers (Bottom of Page)"/>
        <w:docPartUnique/>
      </w:docPartObj>
    </w:sdtPr>
    <w:sdtEndPr>
      <w:rPr>
        <w:noProof/>
      </w:rPr>
    </w:sdtEndPr>
    <w:sdtContent>
      <w:p w14:paraId="528961C7" w14:textId="282E27F5" w:rsidR="00D97F06" w:rsidRDefault="00D97F06" w:rsidP="00C02A37">
        <w:pPr>
          <w:pStyle w:val="Footer"/>
        </w:pPr>
        <w:r>
          <w:fldChar w:fldCharType="begin"/>
        </w:r>
        <w:r>
          <w:instrText xml:space="preserve"> PAGE   \* MERGEFORMAT </w:instrText>
        </w:r>
        <w:r>
          <w:fldChar w:fldCharType="separate"/>
        </w:r>
        <w:r>
          <w:rPr>
            <w:noProof/>
          </w:rPr>
          <w:t>2</w:t>
        </w:r>
        <w:r>
          <w:rPr>
            <w:noProof/>
          </w:rPr>
          <w:fldChar w:fldCharType="end"/>
        </w:r>
        <w:r w:rsidR="00B30775">
          <w:rPr>
            <w:noProof/>
          </w:rPr>
          <w:t xml:space="preserve"> | Office of the Director of Public Prosecutions (Cth) </w:t>
        </w:r>
        <w:r w:rsidR="00B46377">
          <w:rPr>
            <w:noProof/>
          </w:rPr>
          <w:t>| Emissions Reduction Plan 2024</w:t>
        </w:r>
      </w:p>
    </w:sdtContent>
  </w:sdt>
  <w:p w14:paraId="1F40EA4F" w14:textId="4315F818" w:rsidR="00D97F06" w:rsidRDefault="00D414E7">
    <w:pPr>
      <w:pStyle w:val="Footer"/>
    </w:pPr>
    <w:r>
      <w:rPr>
        <w:noProof/>
      </w:rPr>
      <mc:AlternateContent>
        <mc:Choice Requires="wps">
          <w:drawing>
            <wp:anchor distT="0" distB="0" distL="114300" distR="114300" simplePos="0" relativeHeight="251674112" behindDoc="0" locked="0" layoutInCell="1" allowOverlap="1" wp14:anchorId="3CDB852A" wp14:editId="1CC75533">
              <wp:simplePos x="0" y="0"/>
              <wp:positionH relativeFrom="column">
                <wp:posOffset>-754380</wp:posOffset>
              </wp:positionH>
              <wp:positionV relativeFrom="paragraph">
                <wp:posOffset>395234</wp:posOffset>
              </wp:positionV>
              <wp:extent cx="7582619" cy="0"/>
              <wp:effectExtent l="38100" t="38100" r="18415" b="381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582619" cy="0"/>
                      </a:xfrm>
                      <a:prstGeom prst="line">
                        <a:avLst/>
                      </a:prstGeom>
                      <a:ln w="762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E10A5B" id="Straight Connector 7" o:spid="_x0000_s1026" alt="&quot;&quot;" style="position:absolute;flip:x;z-index:251674112;visibility:visible;mso-wrap-style:square;mso-wrap-distance-left:9pt;mso-wrap-distance-top:0;mso-wrap-distance-right:9pt;mso-wrap-distance-bottom:0;mso-position-horizontal:absolute;mso-position-horizontal-relative:text;mso-position-vertical:absolute;mso-position-vertical-relative:text" from="-59.4pt,31.1pt" to="537.6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" strokecolor="#808285 [3209]" strokeweight="6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512A" w14:textId="77777777" w:rsidR="00DB538F" w:rsidRDefault="00DB538F" w:rsidP="006A44C1">
      <w:pPr>
        <w:spacing w:before="0" w:after="0"/>
      </w:pPr>
      <w:r>
        <w:separator/>
      </w:r>
    </w:p>
  </w:footnote>
  <w:footnote w:type="continuationSeparator" w:id="0">
    <w:p w14:paraId="1F02C980" w14:textId="77777777" w:rsidR="00DB538F" w:rsidRDefault="00DB538F" w:rsidP="006A44C1">
      <w:pPr>
        <w:spacing w:before="0" w:after="0"/>
      </w:pPr>
      <w:r>
        <w:continuationSeparator/>
      </w:r>
    </w:p>
  </w:footnote>
  <w:footnote w:type="continuationNotice" w:id="1">
    <w:p w14:paraId="14370327" w14:textId="77777777" w:rsidR="00DB538F" w:rsidRDefault="00DB53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E318" w14:textId="2B289F65" w:rsidR="00D97F06" w:rsidRPr="00D414E7" w:rsidRDefault="00D97F06" w:rsidP="00D414E7">
    <w:pPr>
      <w:pStyle w:val="Header"/>
      <w:jc w:val="right"/>
      <w:rPr>
        <w:color w:val="445669" w:themeColor="text2"/>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997C" w14:textId="7C01444C" w:rsidR="00D42058" w:rsidRDefault="00D42058">
    <w:pPr>
      <w:pStyle w:val="Header"/>
    </w:pPr>
    <w:r w:rsidRPr="006A44C1">
      <w:rPr>
        <w:noProof/>
      </w:rPr>
      <w:drawing>
        <wp:anchor distT="0" distB="0" distL="114300" distR="114300" simplePos="0" relativeHeight="251658240" behindDoc="1" locked="0" layoutInCell="1" allowOverlap="1" wp14:anchorId="27FF4996" wp14:editId="261C52A2">
          <wp:simplePos x="0" y="0"/>
          <wp:positionH relativeFrom="margin">
            <wp:posOffset>-632308</wp:posOffset>
          </wp:positionH>
          <wp:positionV relativeFrom="paragraph">
            <wp:posOffset>-128118</wp:posOffset>
          </wp:positionV>
          <wp:extent cx="7380993" cy="10440534"/>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80993" cy="104405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2C2D"/>
    <w:multiLevelType w:val="singleLevel"/>
    <w:tmpl w:val="99AAA89E"/>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 w15:restartNumberingAfterBreak="0">
    <w:nsid w:val="12840506"/>
    <w:multiLevelType w:val="hybridMultilevel"/>
    <w:tmpl w:val="104E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4B15FB"/>
    <w:multiLevelType w:val="hybridMultilevel"/>
    <w:tmpl w:val="E152C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50E3C43"/>
    <w:multiLevelType w:val="hybridMultilevel"/>
    <w:tmpl w:val="3B2EC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4736D2"/>
    <w:multiLevelType w:val="hybridMultilevel"/>
    <w:tmpl w:val="C8003A08"/>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2E14609A"/>
    <w:multiLevelType w:val="hybridMultilevel"/>
    <w:tmpl w:val="122A5834"/>
    <w:lvl w:ilvl="0" w:tplc="59A20F3E">
      <w:start w:val="1"/>
      <w:numFmt w:val="bullet"/>
      <w:pStyle w:val="Bullet1"/>
      <w:lvlText w:val=""/>
      <w:lvlJc w:val="left"/>
      <w:pPr>
        <w:ind w:left="-700" w:hanging="360"/>
      </w:pPr>
      <w:rPr>
        <w:rFonts w:ascii="Symbol" w:hAnsi="Symbol" w:hint="default"/>
      </w:rPr>
    </w:lvl>
    <w:lvl w:ilvl="1" w:tplc="0C090003" w:tentative="1">
      <w:start w:val="1"/>
      <w:numFmt w:val="bullet"/>
      <w:lvlText w:val="o"/>
      <w:lvlJc w:val="left"/>
      <w:pPr>
        <w:ind w:left="20" w:hanging="360"/>
      </w:pPr>
      <w:rPr>
        <w:rFonts w:ascii="Courier New" w:hAnsi="Courier New" w:cs="Courier New" w:hint="default"/>
      </w:rPr>
    </w:lvl>
    <w:lvl w:ilvl="2" w:tplc="0C090005" w:tentative="1">
      <w:start w:val="1"/>
      <w:numFmt w:val="bullet"/>
      <w:lvlText w:val=""/>
      <w:lvlJc w:val="left"/>
      <w:pPr>
        <w:ind w:left="740" w:hanging="360"/>
      </w:pPr>
      <w:rPr>
        <w:rFonts w:ascii="Wingdings" w:hAnsi="Wingdings" w:hint="default"/>
      </w:rPr>
    </w:lvl>
    <w:lvl w:ilvl="3" w:tplc="0C090001" w:tentative="1">
      <w:start w:val="1"/>
      <w:numFmt w:val="bullet"/>
      <w:lvlText w:val=""/>
      <w:lvlJc w:val="left"/>
      <w:pPr>
        <w:ind w:left="1460" w:hanging="360"/>
      </w:pPr>
      <w:rPr>
        <w:rFonts w:ascii="Symbol" w:hAnsi="Symbol" w:hint="default"/>
      </w:rPr>
    </w:lvl>
    <w:lvl w:ilvl="4" w:tplc="0C090003" w:tentative="1">
      <w:start w:val="1"/>
      <w:numFmt w:val="bullet"/>
      <w:lvlText w:val="o"/>
      <w:lvlJc w:val="left"/>
      <w:pPr>
        <w:ind w:left="2180" w:hanging="360"/>
      </w:pPr>
      <w:rPr>
        <w:rFonts w:ascii="Courier New" w:hAnsi="Courier New" w:cs="Courier New" w:hint="default"/>
      </w:rPr>
    </w:lvl>
    <w:lvl w:ilvl="5" w:tplc="0C090005" w:tentative="1">
      <w:start w:val="1"/>
      <w:numFmt w:val="bullet"/>
      <w:lvlText w:val=""/>
      <w:lvlJc w:val="left"/>
      <w:pPr>
        <w:ind w:left="2900" w:hanging="360"/>
      </w:pPr>
      <w:rPr>
        <w:rFonts w:ascii="Wingdings" w:hAnsi="Wingdings" w:hint="default"/>
      </w:rPr>
    </w:lvl>
    <w:lvl w:ilvl="6" w:tplc="0C090001" w:tentative="1">
      <w:start w:val="1"/>
      <w:numFmt w:val="bullet"/>
      <w:lvlText w:val=""/>
      <w:lvlJc w:val="left"/>
      <w:pPr>
        <w:ind w:left="3620" w:hanging="360"/>
      </w:pPr>
      <w:rPr>
        <w:rFonts w:ascii="Symbol" w:hAnsi="Symbol" w:hint="default"/>
      </w:rPr>
    </w:lvl>
    <w:lvl w:ilvl="7" w:tplc="0C090003" w:tentative="1">
      <w:start w:val="1"/>
      <w:numFmt w:val="bullet"/>
      <w:lvlText w:val="o"/>
      <w:lvlJc w:val="left"/>
      <w:pPr>
        <w:ind w:left="4340" w:hanging="360"/>
      </w:pPr>
      <w:rPr>
        <w:rFonts w:ascii="Courier New" w:hAnsi="Courier New" w:cs="Courier New" w:hint="default"/>
      </w:rPr>
    </w:lvl>
    <w:lvl w:ilvl="8" w:tplc="0C090005" w:tentative="1">
      <w:start w:val="1"/>
      <w:numFmt w:val="bullet"/>
      <w:lvlText w:val=""/>
      <w:lvlJc w:val="left"/>
      <w:pPr>
        <w:ind w:left="5060" w:hanging="360"/>
      </w:pPr>
      <w:rPr>
        <w:rFonts w:ascii="Wingdings" w:hAnsi="Wingdings" w:hint="default"/>
      </w:rPr>
    </w:lvl>
  </w:abstractNum>
  <w:abstractNum w:abstractNumId="6" w15:restartNumberingAfterBreak="0">
    <w:nsid w:val="2E9D6B7E"/>
    <w:multiLevelType w:val="hybridMultilevel"/>
    <w:tmpl w:val="245C5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334704"/>
    <w:multiLevelType w:val="hybridMultilevel"/>
    <w:tmpl w:val="D924D792"/>
    <w:lvl w:ilvl="0" w:tplc="BD84F61A">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AB1379"/>
    <w:multiLevelType w:val="hybridMultilevel"/>
    <w:tmpl w:val="467447F4"/>
    <w:lvl w:ilvl="0" w:tplc="CE2AD678">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2697E90"/>
    <w:multiLevelType w:val="hybridMultilevel"/>
    <w:tmpl w:val="519A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0546F8"/>
    <w:multiLevelType w:val="hybridMultilevel"/>
    <w:tmpl w:val="FB628A22"/>
    <w:lvl w:ilvl="0" w:tplc="DDEA13B0">
      <w:start w:val="1"/>
      <w:numFmt w:val="bullet"/>
      <w:pStyle w:val="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F63F02"/>
    <w:multiLevelType w:val="hybridMultilevel"/>
    <w:tmpl w:val="7FA6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54341"/>
    <w:multiLevelType w:val="multilevel"/>
    <w:tmpl w:val="9BD83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03DCE"/>
    <w:multiLevelType w:val="hybridMultilevel"/>
    <w:tmpl w:val="C4101ABE"/>
    <w:lvl w:ilvl="0" w:tplc="41E08E20">
      <w:start w:val="1"/>
      <w:numFmt w:val="bullet"/>
      <w:pStyle w:val="Bodybullet1"/>
      <w:lvlText w:val="•"/>
      <w:lvlJc w:val="left"/>
      <w:pPr>
        <w:ind w:left="360" w:hanging="360"/>
      </w:pPr>
      <w:rPr>
        <w:rFonts w:ascii="Arial" w:hAnsi="Arial" w:hint="default"/>
        <w:color w:val="auto"/>
        <w:sz w:val="2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4D31D2A"/>
    <w:multiLevelType w:val="hybridMultilevel"/>
    <w:tmpl w:val="24485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5A6242"/>
    <w:multiLevelType w:val="hybridMultilevel"/>
    <w:tmpl w:val="8D742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687C2A"/>
    <w:multiLevelType w:val="hybridMultilevel"/>
    <w:tmpl w:val="47AC1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FCF0495"/>
    <w:multiLevelType w:val="hybridMultilevel"/>
    <w:tmpl w:val="CBA4D164"/>
    <w:lvl w:ilvl="0" w:tplc="54BE97E2">
      <w:start w:val="1"/>
      <w:numFmt w:val="bullet"/>
      <w:lvlText w:val=""/>
      <w:lvlJc w:val="left"/>
      <w:pPr>
        <w:ind w:left="360" w:hanging="360"/>
      </w:pPr>
      <w:rPr>
        <w:rFonts w:ascii="Symbol" w:hAnsi="Symbol" w:hint="default"/>
        <w:b w:val="0"/>
        <w:i w:val="0"/>
        <w:color w:val="12666F" w:themeColor="accent2" w:themeShade="BF"/>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485363">
    <w:abstractNumId w:val="5"/>
  </w:num>
  <w:num w:numId="2" w16cid:durableId="1614898679">
    <w:abstractNumId w:val="7"/>
  </w:num>
  <w:num w:numId="3" w16cid:durableId="164320527">
    <w:abstractNumId w:val="10"/>
  </w:num>
  <w:num w:numId="4" w16cid:durableId="633561158">
    <w:abstractNumId w:val="8"/>
  </w:num>
  <w:num w:numId="5" w16cid:durableId="1354183503">
    <w:abstractNumId w:val="2"/>
  </w:num>
  <w:num w:numId="6" w16cid:durableId="546645872">
    <w:abstractNumId w:val="0"/>
  </w:num>
  <w:num w:numId="7" w16cid:durableId="913128676">
    <w:abstractNumId w:val="13"/>
  </w:num>
  <w:num w:numId="8" w16cid:durableId="372969279">
    <w:abstractNumId w:val="4"/>
  </w:num>
  <w:num w:numId="9" w16cid:durableId="601182542">
    <w:abstractNumId w:val="14"/>
  </w:num>
  <w:num w:numId="10" w16cid:durableId="1946108847">
    <w:abstractNumId w:val="9"/>
  </w:num>
  <w:num w:numId="11" w16cid:durableId="909510079">
    <w:abstractNumId w:val="12"/>
  </w:num>
  <w:num w:numId="12" w16cid:durableId="142815143">
    <w:abstractNumId w:val="17"/>
  </w:num>
  <w:num w:numId="13" w16cid:durableId="1101099941">
    <w:abstractNumId w:val="11"/>
  </w:num>
  <w:num w:numId="14" w16cid:durableId="277376034">
    <w:abstractNumId w:val="3"/>
  </w:num>
  <w:num w:numId="15" w16cid:durableId="1697191312">
    <w:abstractNumId w:val="16"/>
  </w:num>
  <w:num w:numId="16" w16cid:durableId="210385303">
    <w:abstractNumId w:val="1"/>
  </w:num>
  <w:num w:numId="17" w16cid:durableId="1139615155">
    <w:abstractNumId w:val="15"/>
  </w:num>
  <w:num w:numId="18" w16cid:durableId="1375933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C1"/>
    <w:rsid w:val="00001EEA"/>
    <w:rsid w:val="00037261"/>
    <w:rsid w:val="000425CC"/>
    <w:rsid w:val="000558CB"/>
    <w:rsid w:val="00055BF2"/>
    <w:rsid w:val="0005778C"/>
    <w:rsid w:val="000739F0"/>
    <w:rsid w:val="00081678"/>
    <w:rsid w:val="000904EA"/>
    <w:rsid w:val="00094C14"/>
    <w:rsid w:val="00097AC1"/>
    <w:rsid w:val="000A0654"/>
    <w:rsid w:val="000A65D9"/>
    <w:rsid w:val="000A71FA"/>
    <w:rsid w:val="000C3A89"/>
    <w:rsid w:val="000E07D2"/>
    <w:rsid w:val="000E404D"/>
    <w:rsid w:val="000E798C"/>
    <w:rsid w:val="0010075A"/>
    <w:rsid w:val="001023DE"/>
    <w:rsid w:val="00110CB5"/>
    <w:rsid w:val="0011169B"/>
    <w:rsid w:val="001145E3"/>
    <w:rsid w:val="00114C5B"/>
    <w:rsid w:val="00117AA2"/>
    <w:rsid w:val="00142CC3"/>
    <w:rsid w:val="00144825"/>
    <w:rsid w:val="00144C17"/>
    <w:rsid w:val="0014523B"/>
    <w:rsid w:val="001467DF"/>
    <w:rsid w:val="001748D7"/>
    <w:rsid w:val="0017625A"/>
    <w:rsid w:val="00181329"/>
    <w:rsid w:val="00183863"/>
    <w:rsid w:val="001935EC"/>
    <w:rsid w:val="001B64FE"/>
    <w:rsid w:val="001C03FF"/>
    <w:rsid w:val="001C4DAA"/>
    <w:rsid w:val="001C5DA2"/>
    <w:rsid w:val="001D0F26"/>
    <w:rsid w:val="001D3455"/>
    <w:rsid w:val="001E1CF0"/>
    <w:rsid w:val="001E5ABF"/>
    <w:rsid w:val="001E73E1"/>
    <w:rsid w:val="001F2A3D"/>
    <w:rsid w:val="002034F6"/>
    <w:rsid w:val="0020560A"/>
    <w:rsid w:val="002058D5"/>
    <w:rsid w:val="00222E1C"/>
    <w:rsid w:val="00235676"/>
    <w:rsid w:val="00237766"/>
    <w:rsid w:val="00244343"/>
    <w:rsid w:val="00245325"/>
    <w:rsid w:val="0024544C"/>
    <w:rsid w:val="00246970"/>
    <w:rsid w:val="00255A3C"/>
    <w:rsid w:val="00257B1F"/>
    <w:rsid w:val="002730CF"/>
    <w:rsid w:val="00281FB1"/>
    <w:rsid w:val="002B4C25"/>
    <w:rsid w:val="002F709A"/>
    <w:rsid w:val="00311FEC"/>
    <w:rsid w:val="00324F6C"/>
    <w:rsid w:val="003323F3"/>
    <w:rsid w:val="00337F17"/>
    <w:rsid w:val="00341D23"/>
    <w:rsid w:val="00354512"/>
    <w:rsid w:val="00366EA3"/>
    <w:rsid w:val="00374D9E"/>
    <w:rsid w:val="003814F4"/>
    <w:rsid w:val="0039256F"/>
    <w:rsid w:val="003966BD"/>
    <w:rsid w:val="003A3855"/>
    <w:rsid w:val="003A68D7"/>
    <w:rsid w:val="003C5797"/>
    <w:rsid w:val="003C770B"/>
    <w:rsid w:val="003D6F4A"/>
    <w:rsid w:val="003E09B7"/>
    <w:rsid w:val="003E214B"/>
    <w:rsid w:val="003E5B7F"/>
    <w:rsid w:val="004133CF"/>
    <w:rsid w:val="004473AE"/>
    <w:rsid w:val="0046704F"/>
    <w:rsid w:val="00472AE9"/>
    <w:rsid w:val="004A3A22"/>
    <w:rsid w:val="004A6537"/>
    <w:rsid w:val="004B25EB"/>
    <w:rsid w:val="004C23AF"/>
    <w:rsid w:val="004D70E9"/>
    <w:rsid w:val="004E2FE4"/>
    <w:rsid w:val="004F0495"/>
    <w:rsid w:val="004F63ED"/>
    <w:rsid w:val="00504626"/>
    <w:rsid w:val="00511E4A"/>
    <w:rsid w:val="005200CC"/>
    <w:rsid w:val="005426CC"/>
    <w:rsid w:val="00554C4A"/>
    <w:rsid w:val="00561F99"/>
    <w:rsid w:val="00562C1F"/>
    <w:rsid w:val="00567FBA"/>
    <w:rsid w:val="0057115D"/>
    <w:rsid w:val="00597476"/>
    <w:rsid w:val="005B1E1E"/>
    <w:rsid w:val="005C10BC"/>
    <w:rsid w:val="005D3132"/>
    <w:rsid w:val="005E0E5D"/>
    <w:rsid w:val="005F23DE"/>
    <w:rsid w:val="005F7B6A"/>
    <w:rsid w:val="006239B0"/>
    <w:rsid w:val="00634720"/>
    <w:rsid w:val="00657D97"/>
    <w:rsid w:val="00661426"/>
    <w:rsid w:val="00666A59"/>
    <w:rsid w:val="00667B5C"/>
    <w:rsid w:val="006946C4"/>
    <w:rsid w:val="006962DF"/>
    <w:rsid w:val="006A44C1"/>
    <w:rsid w:val="006B7788"/>
    <w:rsid w:val="006C42DD"/>
    <w:rsid w:val="006D0812"/>
    <w:rsid w:val="006D4B57"/>
    <w:rsid w:val="006E3CC3"/>
    <w:rsid w:val="006E3ED7"/>
    <w:rsid w:val="006F1FF7"/>
    <w:rsid w:val="006F3185"/>
    <w:rsid w:val="006F57D1"/>
    <w:rsid w:val="00705DBF"/>
    <w:rsid w:val="007219BF"/>
    <w:rsid w:val="00722479"/>
    <w:rsid w:val="00727C97"/>
    <w:rsid w:val="0073027C"/>
    <w:rsid w:val="00745774"/>
    <w:rsid w:val="007654C2"/>
    <w:rsid w:val="007718B1"/>
    <w:rsid w:val="007737D8"/>
    <w:rsid w:val="007A5E71"/>
    <w:rsid w:val="007B028D"/>
    <w:rsid w:val="007B5B37"/>
    <w:rsid w:val="007D2C90"/>
    <w:rsid w:val="007E0964"/>
    <w:rsid w:val="007F041F"/>
    <w:rsid w:val="007F14BF"/>
    <w:rsid w:val="007F53DA"/>
    <w:rsid w:val="0081481D"/>
    <w:rsid w:val="00816F00"/>
    <w:rsid w:val="00830F3F"/>
    <w:rsid w:val="00831603"/>
    <w:rsid w:val="00843F24"/>
    <w:rsid w:val="008510C6"/>
    <w:rsid w:val="00863AD4"/>
    <w:rsid w:val="0087669F"/>
    <w:rsid w:val="00877A37"/>
    <w:rsid w:val="00880D2F"/>
    <w:rsid w:val="00880DD1"/>
    <w:rsid w:val="0088166F"/>
    <w:rsid w:val="00881686"/>
    <w:rsid w:val="00892ABC"/>
    <w:rsid w:val="008A60F6"/>
    <w:rsid w:val="008C1A44"/>
    <w:rsid w:val="008D22E3"/>
    <w:rsid w:val="008F26FB"/>
    <w:rsid w:val="008F2D38"/>
    <w:rsid w:val="008F6EB8"/>
    <w:rsid w:val="0090574F"/>
    <w:rsid w:val="0091151B"/>
    <w:rsid w:val="00946D4C"/>
    <w:rsid w:val="00947FF4"/>
    <w:rsid w:val="00955055"/>
    <w:rsid w:val="00964582"/>
    <w:rsid w:val="00964905"/>
    <w:rsid w:val="00967884"/>
    <w:rsid w:val="0099544A"/>
    <w:rsid w:val="009C5570"/>
    <w:rsid w:val="009E1AD0"/>
    <w:rsid w:val="009E72F8"/>
    <w:rsid w:val="00A1517A"/>
    <w:rsid w:val="00A21B2A"/>
    <w:rsid w:val="00A26790"/>
    <w:rsid w:val="00A52CF1"/>
    <w:rsid w:val="00A53813"/>
    <w:rsid w:val="00A94714"/>
    <w:rsid w:val="00AA20DD"/>
    <w:rsid w:val="00AB7036"/>
    <w:rsid w:val="00AB7391"/>
    <w:rsid w:val="00AC290E"/>
    <w:rsid w:val="00AC2CB6"/>
    <w:rsid w:val="00AD3AF5"/>
    <w:rsid w:val="00AD53D3"/>
    <w:rsid w:val="00AE14EF"/>
    <w:rsid w:val="00AF0039"/>
    <w:rsid w:val="00AF3A9A"/>
    <w:rsid w:val="00B15B39"/>
    <w:rsid w:val="00B16713"/>
    <w:rsid w:val="00B228B9"/>
    <w:rsid w:val="00B30775"/>
    <w:rsid w:val="00B37CCF"/>
    <w:rsid w:val="00B46377"/>
    <w:rsid w:val="00B5057F"/>
    <w:rsid w:val="00B70FEA"/>
    <w:rsid w:val="00B73F9D"/>
    <w:rsid w:val="00B74DEF"/>
    <w:rsid w:val="00B84D12"/>
    <w:rsid w:val="00B908EF"/>
    <w:rsid w:val="00B9120D"/>
    <w:rsid w:val="00B946C2"/>
    <w:rsid w:val="00BA7257"/>
    <w:rsid w:val="00BB6DFE"/>
    <w:rsid w:val="00BC5ADF"/>
    <w:rsid w:val="00BE6C28"/>
    <w:rsid w:val="00C02A37"/>
    <w:rsid w:val="00C049F4"/>
    <w:rsid w:val="00C06D72"/>
    <w:rsid w:val="00C102F4"/>
    <w:rsid w:val="00C318CF"/>
    <w:rsid w:val="00C324DF"/>
    <w:rsid w:val="00C41784"/>
    <w:rsid w:val="00C42CD2"/>
    <w:rsid w:val="00C47B53"/>
    <w:rsid w:val="00C706C5"/>
    <w:rsid w:val="00C93490"/>
    <w:rsid w:val="00CA44ED"/>
    <w:rsid w:val="00CD70AA"/>
    <w:rsid w:val="00CF39D3"/>
    <w:rsid w:val="00D060C2"/>
    <w:rsid w:val="00D141DF"/>
    <w:rsid w:val="00D40F98"/>
    <w:rsid w:val="00D414E7"/>
    <w:rsid w:val="00D42058"/>
    <w:rsid w:val="00D5258C"/>
    <w:rsid w:val="00D55943"/>
    <w:rsid w:val="00D60D7E"/>
    <w:rsid w:val="00D74430"/>
    <w:rsid w:val="00D77B5B"/>
    <w:rsid w:val="00D811B6"/>
    <w:rsid w:val="00D86354"/>
    <w:rsid w:val="00D97F06"/>
    <w:rsid w:val="00DA158A"/>
    <w:rsid w:val="00DB0C94"/>
    <w:rsid w:val="00DB538F"/>
    <w:rsid w:val="00DC40AB"/>
    <w:rsid w:val="00DD2F56"/>
    <w:rsid w:val="00DD4C83"/>
    <w:rsid w:val="00DD6894"/>
    <w:rsid w:val="00DF1225"/>
    <w:rsid w:val="00DF36A1"/>
    <w:rsid w:val="00E01FE2"/>
    <w:rsid w:val="00E0474B"/>
    <w:rsid w:val="00E06851"/>
    <w:rsid w:val="00E23ADC"/>
    <w:rsid w:val="00E30AF3"/>
    <w:rsid w:val="00E3477A"/>
    <w:rsid w:val="00E40AF5"/>
    <w:rsid w:val="00E43F18"/>
    <w:rsid w:val="00E46666"/>
    <w:rsid w:val="00E636D6"/>
    <w:rsid w:val="00E67F01"/>
    <w:rsid w:val="00E80A9F"/>
    <w:rsid w:val="00E90C97"/>
    <w:rsid w:val="00EA3069"/>
    <w:rsid w:val="00EA6EE4"/>
    <w:rsid w:val="00ED2F17"/>
    <w:rsid w:val="00ED35C2"/>
    <w:rsid w:val="00EE1724"/>
    <w:rsid w:val="00EE4FBE"/>
    <w:rsid w:val="00EF0DE4"/>
    <w:rsid w:val="00F03C41"/>
    <w:rsid w:val="00F132DD"/>
    <w:rsid w:val="00F16D82"/>
    <w:rsid w:val="00F21428"/>
    <w:rsid w:val="00F2218C"/>
    <w:rsid w:val="00F23B73"/>
    <w:rsid w:val="00F62D27"/>
    <w:rsid w:val="00F65C01"/>
    <w:rsid w:val="00F70F2F"/>
    <w:rsid w:val="00F75201"/>
    <w:rsid w:val="00FB09AA"/>
    <w:rsid w:val="00FB7FED"/>
    <w:rsid w:val="00FD6EA5"/>
    <w:rsid w:val="00FF3915"/>
    <w:rsid w:val="00FF5BCB"/>
    <w:rsid w:val="07FFA70F"/>
    <w:rsid w:val="13AD8591"/>
    <w:rsid w:val="13FF0770"/>
    <w:rsid w:val="17EE59C3"/>
    <w:rsid w:val="1C06073D"/>
    <w:rsid w:val="2D8750D6"/>
    <w:rsid w:val="2FC594D5"/>
    <w:rsid w:val="3C0E5935"/>
    <w:rsid w:val="401E14CA"/>
    <w:rsid w:val="44E97263"/>
    <w:rsid w:val="4BC0C87D"/>
    <w:rsid w:val="5946CB5B"/>
    <w:rsid w:val="67F7DA19"/>
    <w:rsid w:val="6DE21BC5"/>
    <w:rsid w:val="6DF663D6"/>
    <w:rsid w:val="70148049"/>
    <w:rsid w:val="71566C8D"/>
    <w:rsid w:val="74B23E59"/>
    <w:rsid w:val="77E9BB10"/>
    <w:rsid w:val="7A5184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2411E"/>
  <w15:chartTrackingRefBased/>
  <w15:docId w15:val="{E9A91B7C-022E-4F7C-8759-4B34EB38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F3F"/>
    <w:pPr>
      <w:spacing w:before="120" w:after="240" w:line="240" w:lineRule="auto"/>
    </w:pPr>
  </w:style>
  <w:style w:type="paragraph" w:styleId="Heading1">
    <w:name w:val="heading 1"/>
    <w:basedOn w:val="Subtitle"/>
    <w:next w:val="Normal"/>
    <w:link w:val="Heading1Char"/>
    <w:uiPriority w:val="9"/>
    <w:qFormat/>
    <w:rsid w:val="00AC290E"/>
    <w:pPr>
      <w:spacing w:before="240" w:after="240"/>
      <w:jc w:val="left"/>
      <w:outlineLvl w:val="0"/>
    </w:pPr>
    <w:rPr>
      <w:b/>
      <w:bCs/>
      <w:caps/>
      <w:sz w:val="28"/>
      <w:szCs w:val="28"/>
    </w:rPr>
  </w:style>
  <w:style w:type="paragraph" w:styleId="Heading2">
    <w:name w:val="heading 2"/>
    <w:basedOn w:val="Normal"/>
    <w:next w:val="Normal"/>
    <w:link w:val="Heading2Char"/>
    <w:unhideWhenUsed/>
    <w:qFormat/>
    <w:rsid w:val="00AC290E"/>
    <w:pPr>
      <w:keepNext/>
      <w:keepLines/>
      <w:spacing w:before="240"/>
      <w:outlineLvl w:val="1"/>
    </w:pPr>
    <w:rPr>
      <w:rFonts w:asciiTheme="majorHAnsi" w:eastAsiaTheme="majorEastAsia" w:hAnsiTheme="majorHAnsi" w:cstheme="majorBidi"/>
      <w:b/>
      <w:sz w:val="24"/>
      <w:szCs w:val="24"/>
    </w:rPr>
  </w:style>
  <w:style w:type="paragraph" w:styleId="Heading3">
    <w:name w:val="heading 3"/>
    <w:basedOn w:val="Normal"/>
    <w:next w:val="Normal"/>
    <w:link w:val="Heading3Char"/>
    <w:uiPriority w:val="9"/>
    <w:unhideWhenUsed/>
    <w:rsid w:val="00BA7257"/>
    <w:pPr>
      <w:shd w:val="clear" w:color="auto" w:fill="D9D9D9" w:themeFill="background2" w:themeFillShade="D9"/>
      <w:spacing w:before="0" w:line="360" w:lineRule="auto"/>
      <w:outlineLvl w:val="2"/>
    </w:pPr>
    <w:rPr>
      <w:b/>
      <w:bCs/>
      <w:sz w:val="28"/>
      <w:szCs w:val="28"/>
    </w:rPr>
  </w:style>
  <w:style w:type="paragraph" w:styleId="Heading4">
    <w:name w:val="heading 4"/>
    <w:basedOn w:val="Normal"/>
    <w:next w:val="Normal"/>
    <w:link w:val="Heading4Char"/>
    <w:uiPriority w:val="9"/>
    <w:unhideWhenUsed/>
    <w:rsid w:val="00BA7257"/>
    <w:pPr>
      <w:spacing w:before="160" w:after="160"/>
      <w:outlineLvl w:val="3"/>
    </w:pPr>
    <w:rPr>
      <w:b/>
      <w:bCs/>
      <w:color w:val="445669" w:themeColor="text2"/>
      <w:sz w:val="24"/>
      <w:szCs w:val="24"/>
    </w:rPr>
  </w:style>
  <w:style w:type="paragraph" w:styleId="Heading5">
    <w:name w:val="heading 5"/>
    <w:basedOn w:val="Normal"/>
    <w:next w:val="Normal"/>
    <w:link w:val="Heading5Char"/>
    <w:uiPriority w:val="9"/>
    <w:unhideWhenUsed/>
    <w:rsid w:val="0057115D"/>
    <w:pPr>
      <w:spacing w:after="120"/>
      <w:outlineLvl w:val="4"/>
    </w:pPr>
    <w:rPr>
      <w:b/>
      <w:bCs/>
      <w:color w:val="404142" w:themeColor="accent6" w:themeShade="80"/>
      <w:sz w:val="24"/>
      <w:szCs w:val="24"/>
    </w:rPr>
  </w:style>
  <w:style w:type="paragraph" w:styleId="Heading6">
    <w:name w:val="heading 6"/>
    <w:basedOn w:val="Normal"/>
    <w:next w:val="Normal"/>
    <w:link w:val="Heading6Char"/>
    <w:uiPriority w:val="9"/>
    <w:semiHidden/>
    <w:unhideWhenUsed/>
    <w:rsid w:val="00830F3F"/>
    <w:pPr>
      <w:keepNext/>
      <w:keepLines/>
      <w:spacing w:before="40" w:after="0"/>
      <w:outlineLvl w:val="5"/>
    </w:pPr>
    <w:rPr>
      <w:rFonts w:asciiTheme="majorHAnsi" w:eastAsiaTheme="majorEastAsia" w:hAnsiTheme="majorHAnsi" w:cstheme="majorBidi"/>
      <w:color w:val="071B25"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4C1"/>
    <w:pPr>
      <w:tabs>
        <w:tab w:val="center" w:pos="4513"/>
        <w:tab w:val="right" w:pos="9026"/>
      </w:tabs>
      <w:spacing w:after="0"/>
    </w:pPr>
  </w:style>
  <w:style w:type="character" w:customStyle="1" w:styleId="HeaderChar">
    <w:name w:val="Header Char"/>
    <w:basedOn w:val="DefaultParagraphFont"/>
    <w:link w:val="Header"/>
    <w:uiPriority w:val="99"/>
    <w:rsid w:val="006A44C1"/>
  </w:style>
  <w:style w:type="paragraph" w:styleId="Footer">
    <w:name w:val="footer"/>
    <w:basedOn w:val="Normal"/>
    <w:link w:val="FooterChar"/>
    <w:uiPriority w:val="99"/>
    <w:unhideWhenUsed/>
    <w:rsid w:val="006A44C1"/>
    <w:pPr>
      <w:tabs>
        <w:tab w:val="center" w:pos="4513"/>
        <w:tab w:val="right" w:pos="9026"/>
      </w:tabs>
      <w:spacing w:after="0"/>
    </w:pPr>
  </w:style>
  <w:style w:type="character" w:customStyle="1" w:styleId="FooterChar">
    <w:name w:val="Footer Char"/>
    <w:basedOn w:val="DefaultParagraphFont"/>
    <w:link w:val="Footer"/>
    <w:uiPriority w:val="99"/>
    <w:rsid w:val="006A44C1"/>
  </w:style>
  <w:style w:type="paragraph" w:styleId="Title">
    <w:name w:val="Title"/>
    <w:basedOn w:val="Normal"/>
    <w:next w:val="Normal"/>
    <w:link w:val="TitleChar"/>
    <w:uiPriority w:val="10"/>
    <w:qFormat/>
    <w:rsid w:val="006A44C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3455"/>
    <w:pPr>
      <w:numPr>
        <w:ilvl w:val="1"/>
      </w:numPr>
      <w:spacing w:after="160"/>
      <w:jc w:val="right"/>
    </w:pPr>
    <w:rPr>
      <w:rFonts w:eastAsiaTheme="minorEastAsia"/>
      <w:spacing w:val="15"/>
      <w:sz w:val="36"/>
    </w:rPr>
  </w:style>
  <w:style w:type="character" w:customStyle="1" w:styleId="SubtitleChar">
    <w:name w:val="Subtitle Char"/>
    <w:basedOn w:val="DefaultParagraphFont"/>
    <w:link w:val="Subtitle"/>
    <w:uiPriority w:val="11"/>
    <w:rsid w:val="001D3455"/>
    <w:rPr>
      <w:rFonts w:eastAsiaTheme="minorEastAsia"/>
      <w:spacing w:val="15"/>
      <w:sz w:val="36"/>
    </w:rPr>
  </w:style>
  <w:style w:type="character" w:customStyle="1" w:styleId="Heading1Char">
    <w:name w:val="Heading 1 Char"/>
    <w:basedOn w:val="DefaultParagraphFont"/>
    <w:link w:val="Heading1"/>
    <w:uiPriority w:val="9"/>
    <w:rsid w:val="00AC290E"/>
    <w:rPr>
      <w:rFonts w:eastAsiaTheme="minorEastAsia"/>
      <w:b/>
      <w:bCs/>
      <w:caps/>
      <w:spacing w:val="15"/>
      <w:sz w:val="28"/>
      <w:szCs w:val="28"/>
    </w:rPr>
  </w:style>
  <w:style w:type="character" w:customStyle="1" w:styleId="Heading2Char">
    <w:name w:val="Heading 2 Char"/>
    <w:basedOn w:val="DefaultParagraphFont"/>
    <w:link w:val="Heading2"/>
    <w:rsid w:val="00AC290E"/>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BA7257"/>
    <w:rPr>
      <w:b/>
      <w:bCs/>
      <w:sz w:val="28"/>
      <w:szCs w:val="28"/>
      <w:shd w:val="clear" w:color="auto" w:fill="D9D9D9" w:themeFill="background2" w:themeFillShade="D9"/>
    </w:rPr>
  </w:style>
  <w:style w:type="character" w:customStyle="1" w:styleId="Heading4Char">
    <w:name w:val="Heading 4 Char"/>
    <w:basedOn w:val="DefaultParagraphFont"/>
    <w:link w:val="Heading4"/>
    <w:uiPriority w:val="9"/>
    <w:rsid w:val="00BA7257"/>
    <w:rPr>
      <w:b/>
      <w:bCs/>
      <w:color w:val="445669" w:themeColor="text2"/>
      <w:sz w:val="24"/>
      <w:szCs w:val="24"/>
    </w:rPr>
  </w:style>
  <w:style w:type="character" w:customStyle="1" w:styleId="Heading5Char">
    <w:name w:val="Heading 5 Char"/>
    <w:basedOn w:val="DefaultParagraphFont"/>
    <w:link w:val="Heading5"/>
    <w:rsid w:val="0057115D"/>
    <w:rPr>
      <w:b/>
      <w:bCs/>
      <w:color w:val="404142" w:themeColor="accent6" w:themeShade="80"/>
      <w:sz w:val="24"/>
      <w:szCs w:val="24"/>
    </w:rPr>
  </w:style>
  <w:style w:type="paragraph" w:styleId="ListParagraph">
    <w:name w:val="List Paragraph"/>
    <w:aliases w:val="AR bullet 1,List Paragraph1,Number Paragraph,Recommendation,List Paragraph11,Bulleted Para,CV text,Dot pt,F5 List Paragraph,FooterText,L,List Paragraph111,List Paragraph2,Medium Grid 1 - Accent 21,NFP GP Bulleted List,Numbered Paragraph"/>
    <w:basedOn w:val="Normal"/>
    <w:link w:val="ListParagraphChar"/>
    <w:uiPriority w:val="34"/>
    <w:qFormat/>
    <w:rsid w:val="00D42058"/>
    <w:pPr>
      <w:ind w:left="720"/>
      <w:contextualSpacing/>
    </w:pPr>
  </w:style>
  <w:style w:type="paragraph" w:customStyle="1" w:styleId="Bullet1">
    <w:name w:val="Bullet 1"/>
    <w:basedOn w:val="ListParagraph"/>
    <w:link w:val="Bullet1Char"/>
    <w:qFormat/>
    <w:rsid w:val="006239B0"/>
    <w:pPr>
      <w:numPr>
        <w:numId w:val="1"/>
      </w:numPr>
      <w:spacing w:after="120"/>
      <w:ind w:left="284" w:hanging="284"/>
    </w:pPr>
  </w:style>
  <w:style w:type="paragraph" w:customStyle="1" w:styleId="Bullet2">
    <w:name w:val="Bullet 2"/>
    <w:basedOn w:val="ListParagraph"/>
    <w:link w:val="Bullet2Char"/>
    <w:qFormat/>
    <w:rsid w:val="006239B0"/>
    <w:pPr>
      <w:numPr>
        <w:numId w:val="2"/>
      </w:numPr>
      <w:spacing w:after="120"/>
      <w:ind w:left="539" w:hanging="255"/>
      <w:contextualSpacing w:val="0"/>
    </w:pPr>
  </w:style>
  <w:style w:type="character" w:customStyle="1" w:styleId="ListParagraphChar">
    <w:name w:val="List Paragraph Char"/>
    <w:aliases w:val="AR bullet 1 Char,List Paragraph1 Char,Number Paragraph Char,Recommendation Char,List Paragraph11 Char,Bulleted Para Char,CV text Char,Dot pt Char,F5 List Paragraph Char,FooterText Char,L Char,List Paragraph111 Char"/>
    <w:basedOn w:val="DefaultParagraphFont"/>
    <w:link w:val="ListParagraph"/>
    <w:uiPriority w:val="34"/>
    <w:qFormat/>
    <w:rsid w:val="00D42058"/>
  </w:style>
  <w:style w:type="character" w:customStyle="1" w:styleId="Bullet1Char">
    <w:name w:val="Bullet 1 Char"/>
    <w:basedOn w:val="ListParagraphChar"/>
    <w:link w:val="Bullet1"/>
    <w:rsid w:val="006239B0"/>
  </w:style>
  <w:style w:type="paragraph" w:customStyle="1" w:styleId="Bullet3">
    <w:name w:val="Bullet 3"/>
    <w:basedOn w:val="Bullet2"/>
    <w:link w:val="Bullet3Char"/>
    <w:qFormat/>
    <w:rsid w:val="006239B0"/>
    <w:pPr>
      <w:numPr>
        <w:numId w:val="3"/>
      </w:numPr>
      <w:ind w:left="851" w:hanging="284"/>
    </w:pPr>
  </w:style>
  <w:style w:type="character" w:customStyle="1" w:styleId="Bullet2Char">
    <w:name w:val="Bullet 2 Char"/>
    <w:basedOn w:val="ListParagraphChar"/>
    <w:link w:val="Bullet2"/>
    <w:rsid w:val="006239B0"/>
  </w:style>
  <w:style w:type="paragraph" w:customStyle="1" w:styleId="Numberedlist">
    <w:name w:val="Numbered list"/>
    <w:basedOn w:val="ListParagraph"/>
    <w:link w:val="NumberedlistChar"/>
    <w:qFormat/>
    <w:rsid w:val="006239B0"/>
    <w:pPr>
      <w:numPr>
        <w:numId w:val="4"/>
      </w:numPr>
      <w:spacing w:before="240" w:after="120"/>
      <w:ind w:left="284" w:hanging="284"/>
    </w:pPr>
  </w:style>
  <w:style w:type="character" w:customStyle="1" w:styleId="Bullet3Char">
    <w:name w:val="Bullet 3 Char"/>
    <w:basedOn w:val="Bullet2Char"/>
    <w:link w:val="Bullet3"/>
    <w:rsid w:val="006239B0"/>
  </w:style>
  <w:style w:type="paragraph" w:customStyle="1" w:styleId="Boxedheading1">
    <w:name w:val="Boxed heading 1"/>
    <w:basedOn w:val="Normal"/>
    <w:link w:val="Boxedheading1Char"/>
    <w:qFormat/>
    <w:rsid w:val="00AC290E"/>
    <w:pPr>
      <w:pBdr>
        <w:top w:val="single" w:sz="4" w:space="14" w:color="E5E5E6" w:themeColor="accent6" w:themeTint="33"/>
        <w:left w:val="single" w:sz="4" w:space="14" w:color="E5E5E6" w:themeColor="accent6" w:themeTint="33"/>
        <w:bottom w:val="single" w:sz="4" w:space="14" w:color="E5E5E6" w:themeColor="accent6" w:themeTint="33"/>
        <w:right w:val="single" w:sz="4" w:space="14" w:color="E5E5E6" w:themeColor="accent6" w:themeTint="33"/>
      </w:pBdr>
      <w:shd w:val="clear" w:color="auto" w:fill="E5E5E6" w:themeFill="accent6" w:themeFillTint="33"/>
      <w:spacing w:before="180" w:after="60" w:line="280" w:lineRule="atLeast"/>
      <w:ind w:left="284" w:right="284"/>
      <w:outlineLvl w:val="1"/>
    </w:pPr>
    <w:rPr>
      <w:rFonts w:asciiTheme="majorHAnsi" w:eastAsiaTheme="majorEastAsia" w:hAnsiTheme="majorHAnsi" w:cstheme="majorBidi"/>
      <w:b/>
      <w:bCs/>
    </w:rPr>
  </w:style>
  <w:style w:type="character" w:customStyle="1" w:styleId="NumberedlistChar">
    <w:name w:val="Numbered list Char"/>
    <w:basedOn w:val="ListParagraphChar"/>
    <w:link w:val="Numberedlist"/>
    <w:rsid w:val="006239B0"/>
  </w:style>
  <w:style w:type="paragraph" w:customStyle="1" w:styleId="Boxedparagraph1">
    <w:name w:val="Boxed paragraph 1"/>
    <w:basedOn w:val="Boxedheading1"/>
    <w:link w:val="Boxedparagraph1Char"/>
    <w:qFormat/>
    <w:rsid w:val="00567FBA"/>
    <w:pPr>
      <w:outlineLvl w:val="9"/>
    </w:pPr>
    <w:rPr>
      <w:rFonts w:asciiTheme="minorHAnsi" w:hAnsiTheme="minorHAnsi" w:cstheme="minorHAnsi"/>
      <w:b w:val="0"/>
      <w:bCs w:val="0"/>
    </w:rPr>
  </w:style>
  <w:style w:type="character" w:customStyle="1" w:styleId="Boxedheading1Char">
    <w:name w:val="Boxed heading 1 Char"/>
    <w:basedOn w:val="DefaultParagraphFont"/>
    <w:link w:val="Boxedheading1"/>
    <w:rsid w:val="00AC290E"/>
    <w:rPr>
      <w:rFonts w:asciiTheme="majorHAnsi" w:eastAsiaTheme="majorEastAsia" w:hAnsiTheme="majorHAnsi" w:cstheme="majorBidi"/>
      <w:b/>
      <w:bCs/>
      <w:shd w:val="clear" w:color="auto" w:fill="E5E5E6" w:themeFill="accent6" w:themeFillTint="33"/>
    </w:rPr>
  </w:style>
  <w:style w:type="character" w:customStyle="1" w:styleId="Boxedparagraph1Char">
    <w:name w:val="Boxed paragraph 1 Char"/>
    <w:basedOn w:val="Boxedheading1Char"/>
    <w:link w:val="Boxedparagraph1"/>
    <w:rsid w:val="00567FBA"/>
    <w:rPr>
      <w:rFonts w:asciiTheme="majorHAnsi" w:eastAsiaTheme="majorEastAsia" w:hAnsiTheme="majorHAnsi" w:cstheme="minorHAnsi"/>
      <w:b w:val="0"/>
      <w:bCs w:val="0"/>
      <w:shd w:val="clear" w:color="auto" w:fill="E5E5E6" w:themeFill="accent6" w:themeFillTint="33"/>
    </w:rPr>
  </w:style>
  <w:style w:type="paragraph" w:customStyle="1" w:styleId="Boxedheadin2">
    <w:name w:val="Boxed headin 2"/>
    <w:basedOn w:val="Boxedheading1"/>
    <w:link w:val="Boxedheadin2Char"/>
    <w:qFormat/>
    <w:rsid w:val="00830F3F"/>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pPr>
  </w:style>
  <w:style w:type="paragraph" w:customStyle="1" w:styleId="Boxedparagraph2">
    <w:name w:val="Boxed paragraph 2"/>
    <w:basedOn w:val="Boxedheading1"/>
    <w:link w:val="Boxedparagraph2Char"/>
    <w:qFormat/>
    <w:rsid w:val="00567FBA"/>
    <w:pPr>
      <w:pBdr>
        <w:top w:val="single" w:sz="4" w:space="14" w:color="D5DCE4" w:themeColor="text2" w:themeTint="33"/>
        <w:left w:val="single" w:sz="4" w:space="14" w:color="D5DCE4" w:themeColor="text2" w:themeTint="33"/>
        <w:bottom w:val="single" w:sz="4" w:space="14" w:color="D5DCE4" w:themeColor="text2" w:themeTint="33"/>
        <w:right w:val="single" w:sz="4" w:space="14" w:color="D5DCE4" w:themeColor="text2" w:themeTint="33"/>
      </w:pBdr>
      <w:shd w:val="clear" w:color="auto" w:fill="D5DCE4" w:themeFill="text2" w:themeFillTint="33"/>
      <w:outlineLvl w:val="9"/>
    </w:pPr>
    <w:rPr>
      <w:rFonts w:asciiTheme="minorHAnsi" w:hAnsiTheme="minorHAnsi" w:cstheme="minorHAnsi"/>
      <w:b w:val="0"/>
      <w:bCs w:val="0"/>
    </w:rPr>
  </w:style>
  <w:style w:type="character" w:customStyle="1" w:styleId="Boxedheadin2Char">
    <w:name w:val="Boxed headin 2 Char"/>
    <w:basedOn w:val="Boxedheading1Char"/>
    <w:link w:val="Boxedheadin2"/>
    <w:rsid w:val="00830F3F"/>
    <w:rPr>
      <w:rFonts w:asciiTheme="majorHAnsi" w:eastAsiaTheme="majorEastAsia" w:hAnsiTheme="majorHAnsi" w:cstheme="majorBidi"/>
      <w:b/>
      <w:bCs/>
      <w:sz w:val="24"/>
      <w:szCs w:val="24"/>
      <w:shd w:val="clear" w:color="auto" w:fill="D5DCE4" w:themeFill="text2" w:themeFillTint="33"/>
    </w:rPr>
  </w:style>
  <w:style w:type="character" w:customStyle="1" w:styleId="Heading6Char">
    <w:name w:val="Heading 6 Char"/>
    <w:basedOn w:val="DefaultParagraphFont"/>
    <w:link w:val="Heading6"/>
    <w:uiPriority w:val="9"/>
    <w:semiHidden/>
    <w:rsid w:val="00830F3F"/>
    <w:rPr>
      <w:rFonts w:asciiTheme="majorHAnsi" w:eastAsiaTheme="majorEastAsia" w:hAnsiTheme="majorHAnsi" w:cstheme="majorBidi"/>
      <w:color w:val="071B25" w:themeColor="accent1" w:themeShade="7F"/>
    </w:rPr>
  </w:style>
  <w:style w:type="character" w:customStyle="1" w:styleId="Boxedparagraph2Char">
    <w:name w:val="Boxed paragraph 2 Char"/>
    <w:basedOn w:val="Boxedheading1Char"/>
    <w:link w:val="Boxedparagraph2"/>
    <w:rsid w:val="00567FBA"/>
    <w:rPr>
      <w:rFonts w:asciiTheme="majorHAnsi" w:eastAsiaTheme="majorEastAsia" w:hAnsiTheme="majorHAnsi" w:cstheme="minorHAnsi"/>
      <w:b w:val="0"/>
      <w:bCs w:val="0"/>
      <w:shd w:val="clear" w:color="auto" w:fill="D5DCE4" w:themeFill="text2" w:themeFillTint="33"/>
    </w:rPr>
  </w:style>
  <w:style w:type="paragraph" w:customStyle="1" w:styleId="Tableheading">
    <w:name w:val="Table heading"/>
    <w:basedOn w:val="Normal"/>
    <w:link w:val="TableheadingChar"/>
    <w:rsid w:val="00D97F06"/>
    <w:pPr>
      <w:spacing w:before="240"/>
    </w:pPr>
    <w:rPr>
      <w:b/>
      <w:bCs/>
      <w:sz w:val="24"/>
      <w:szCs w:val="24"/>
    </w:rPr>
  </w:style>
  <w:style w:type="character" w:customStyle="1" w:styleId="TableheadingChar">
    <w:name w:val="Table heading Char"/>
    <w:basedOn w:val="DefaultParagraphFont"/>
    <w:link w:val="Tableheading"/>
    <w:rsid w:val="00D97F06"/>
    <w:rPr>
      <w:b/>
      <w:bCs/>
      <w:sz w:val="24"/>
      <w:szCs w:val="24"/>
    </w:rPr>
  </w:style>
  <w:style w:type="paragraph" w:customStyle="1" w:styleId="Tableheader">
    <w:name w:val="Table header"/>
    <w:basedOn w:val="Tableheading"/>
    <w:link w:val="TableheaderChar"/>
    <w:qFormat/>
    <w:rsid w:val="00D97F06"/>
    <w:pPr>
      <w:spacing w:after="120"/>
    </w:pPr>
    <w:rPr>
      <w:sz w:val="22"/>
      <w:szCs w:val="22"/>
    </w:rPr>
  </w:style>
  <w:style w:type="paragraph" w:styleId="NoSpacing">
    <w:name w:val="No Spacing"/>
    <w:uiPriority w:val="1"/>
    <w:rsid w:val="00D97F06"/>
    <w:pPr>
      <w:spacing w:after="0" w:line="240" w:lineRule="auto"/>
    </w:pPr>
  </w:style>
  <w:style w:type="character" w:customStyle="1" w:styleId="TableheaderChar">
    <w:name w:val="Table header Char"/>
    <w:basedOn w:val="TableheadingChar"/>
    <w:link w:val="Tableheader"/>
    <w:rsid w:val="00D97F06"/>
    <w:rPr>
      <w:b/>
      <w:bCs/>
      <w:sz w:val="24"/>
      <w:szCs w:val="24"/>
    </w:rPr>
  </w:style>
  <w:style w:type="table" w:styleId="GridTable4-Accent1">
    <w:name w:val="Grid Table 4 Accent 1"/>
    <w:basedOn w:val="TableNormal"/>
    <w:uiPriority w:val="49"/>
    <w:rsid w:val="00D414E7"/>
    <w:pPr>
      <w:spacing w:after="0" w:line="240" w:lineRule="auto"/>
    </w:pPr>
    <w:tblPr>
      <w:tblStyleRowBandSize w:val="1"/>
      <w:tblStyleColBandSize w:val="1"/>
      <w:tblBorders>
        <w:top w:val="single" w:sz="4" w:space="0" w:color="8499AF" w:themeColor="text2" w:themeTint="99"/>
        <w:left w:val="single" w:sz="4" w:space="0" w:color="8499AF" w:themeColor="text2" w:themeTint="99"/>
        <w:bottom w:val="single" w:sz="4" w:space="0" w:color="8499AF" w:themeColor="text2" w:themeTint="99"/>
        <w:right w:val="single" w:sz="4" w:space="0" w:color="8499AF" w:themeColor="text2" w:themeTint="99"/>
        <w:insideH w:val="single" w:sz="4" w:space="0" w:color="8499AF" w:themeColor="text2" w:themeTint="99"/>
        <w:insideV w:val="single" w:sz="4" w:space="0" w:color="8499AF" w:themeColor="text2" w:themeTint="99"/>
      </w:tblBorders>
    </w:tblPr>
    <w:tblStylePr w:type="firstRow">
      <w:rPr>
        <w:b/>
        <w:bCs/>
        <w:color w:val="FFFFFF" w:themeColor="background1"/>
      </w:rPr>
      <w:tblPr/>
      <w:tcPr>
        <w:tcBorders>
          <w:top w:val="single" w:sz="4" w:space="0" w:color="0E374B" w:themeColor="accent1"/>
          <w:left w:val="single" w:sz="4" w:space="0" w:color="0E374B" w:themeColor="accent1"/>
          <w:bottom w:val="single" w:sz="4" w:space="0" w:color="0E374B" w:themeColor="accent1"/>
          <w:right w:val="single" w:sz="4" w:space="0" w:color="0E374B" w:themeColor="accent1"/>
          <w:insideH w:val="nil"/>
          <w:insideV w:val="nil"/>
        </w:tcBorders>
        <w:shd w:val="clear" w:color="auto" w:fill="0E374B" w:themeFill="accent1"/>
      </w:tcPr>
    </w:tblStylePr>
    <w:tblStylePr w:type="lastRow">
      <w:rPr>
        <w:b/>
        <w:bCs/>
      </w:rPr>
      <w:tblPr/>
      <w:tcPr>
        <w:tcBorders>
          <w:top w:val="double" w:sz="4" w:space="0" w:color="0E374B" w:themeColor="accent1"/>
        </w:tcBorders>
      </w:tcPr>
    </w:tblStylePr>
    <w:tblStylePr w:type="firstCol">
      <w:rPr>
        <w:b/>
        <w:bCs/>
      </w:rPr>
    </w:tblStylePr>
    <w:tblStylePr w:type="lastCol">
      <w:rPr>
        <w:b/>
        <w:bCs/>
      </w:rPr>
    </w:tblStylePr>
    <w:tblStylePr w:type="band1Vert">
      <w:tblPr/>
      <w:tcPr>
        <w:shd w:val="clear" w:color="auto" w:fill="B7DEF1" w:themeFill="accent1" w:themeFillTint="33"/>
      </w:tcPr>
    </w:tblStylePr>
    <w:tblStylePr w:type="band1Horz">
      <w:tblPr/>
      <w:tcPr>
        <w:shd w:val="clear" w:color="auto" w:fill="B7DEF1" w:themeFill="accent1" w:themeFillTint="33"/>
      </w:tcPr>
    </w:tblStylePr>
  </w:style>
  <w:style w:type="paragraph" w:customStyle="1" w:styleId="Footnote">
    <w:name w:val="Footnote"/>
    <w:basedOn w:val="Normal"/>
    <w:link w:val="FootnoteChar"/>
    <w:qFormat/>
    <w:rsid w:val="00D97F06"/>
    <w:pPr>
      <w:spacing w:before="240"/>
    </w:pPr>
    <w:rPr>
      <w:sz w:val="16"/>
      <w:szCs w:val="16"/>
    </w:rPr>
  </w:style>
  <w:style w:type="character" w:customStyle="1" w:styleId="FootnoteChar">
    <w:name w:val="Footnote Char"/>
    <w:basedOn w:val="DefaultParagraphFont"/>
    <w:link w:val="Footnote"/>
    <w:rsid w:val="00D97F06"/>
    <w:rPr>
      <w:sz w:val="16"/>
      <w:szCs w:val="16"/>
    </w:rPr>
  </w:style>
  <w:style w:type="table" w:customStyle="1" w:styleId="Navytable">
    <w:name w:val="Navy table"/>
    <w:basedOn w:val="TableNormal"/>
    <w:uiPriority w:val="99"/>
    <w:rsid w:val="00D414E7"/>
    <w:pPr>
      <w:spacing w:after="0" w:line="240" w:lineRule="auto"/>
    </w:pPr>
    <w:tblPr/>
  </w:style>
  <w:style w:type="character" w:styleId="CommentReference">
    <w:name w:val="annotation reference"/>
    <w:basedOn w:val="DefaultParagraphFont"/>
    <w:uiPriority w:val="99"/>
    <w:semiHidden/>
    <w:unhideWhenUsed/>
    <w:rsid w:val="000E798C"/>
    <w:rPr>
      <w:sz w:val="16"/>
      <w:szCs w:val="16"/>
    </w:rPr>
  </w:style>
  <w:style w:type="paragraph" w:styleId="CommentText">
    <w:name w:val="annotation text"/>
    <w:basedOn w:val="Normal"/>
    <w:link w:val="CommentTextChar"/>
    <w:uiPriority w:val="99"/>
    <w:unhideWhenUsed/>
    <w:rsid w:val="000E798C"/>
    <w:rPr>
      <w:sz w:val="20"/>
      <w:szCs w:val="20"/>
    </w:rPr>
  </w:style>
  <w:style w:type="character" w:customStyle="1" w:styleId="CommentTextChar">
    <w:name w:val="Comment Text Char"/>
    <w:basedOn w:val="DefaultParagraphFont"/>
    <w:link w:val="CommentText"/>
    <w:uiPriority w:val="99"/>
    <w:rsid w:val="000E798C"/>
    <w:rPr>
      <w:sz w:val="20"/>
      <w:szCs w:val="20"/>
    </w:rPr>
  </w:style>
  <w:style w:type="paragraph" w:styleId="CommentSubject">
    <w:name w:val="annotation subject"/>
    <w:basedOn w:val="CommentText"/>
    <w:next w:val="CommentText"/>
    <w:link w:val="CommentSubjectChar"/>
    <w:uiPriority w:val="99"/>
    <w:semiHidden/>
    <w:unhideWhenUsed/>
    <w:rsid w:val="000E798C"/>
    <w:rPr>
      <w:b/>
      <w:bCs/>
    </w:rPr>
  </w:style>
  <w:style w:type="character" w:customStyle="1" w:styleId="CommentSubjectChar">
    <w:name w:val="Comment Subject Char"/>
    <w:basedOn w:val="CommentTextChar"/>
    <w:link w:val="CommentSubject"/>
    <w:uiPriority w:val="99"/>
    <w:semiHidden/>
    <w:rsid w:val="000E798C"/>
    <w:rPr>
      <w:b/>
      <w:bCs/>
      <w:sz w:val="20"/>
      <w:szCs w:val="20"/>
    </w:rPr>
  </w:style>
  <w:style w:type="paragraph" w:customStyle="1" w:styleId="BodyText1">
    <w:name w:val="Body Text 1"/>
    <w:uiPriority w:val="2"/>
    <w:qFormat/>
    <w:rsid w:val="000E798C"/>
    <w:pPr>
      <w:spacing w:before="120" w:after="120"/>
    </w:pPr>
  </w:style>
  <w:style w:type="table" w:styleId="TableGrid">
    <w:name w:val="Table Grid"/>
    <w:basedOn w:val="TableNormal"/>
    <w:rsid w:val="007A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E71"/>
    <w:rPr>
      <w:color w:val="1E78A3" w:themeColor="hyperlink"/>
      <w:u w:val="single"/>
    </w:rPr>
  </w:style>
  <w:style w:type="paragraph" w:customStyle="1" w:styleId="Tablebodytext">
    <w:name w:val="Table body text"/>
    <w:uiPriority w:val="12"/>
    <w:qFormat/>
    <w:rsid w:val="007A5E71"/>
    <w:pPr>
      <w:spacing w:before="60" w:after="60" w:line="240" w:lineRule="auto"/>
    </w:pPr>
    <w:rPr>
      <w:color w:val="010101" w:themeColor="text1"/>
      <w:sz w:val="20"/>
      <w:szCs w:val="20"/>
    </w:rPr>
  </w:style>
  <w:style w:type="paragraph" w:customStyle="1" w:styleId="Bodybullet1">
    <w:name w:val="Body bullet 1"/>
    <w:uiPriority w:val="2"/>
    <w:qFormat/>
    <w:rsid w:val="007A5E71"/>
    <w:pPr>
      <w:numPr>
        <w:numId w:val="7"/>
      </w:numPr>
      <w:spacing w:before="120" w:after="120"/>
    </w:pPr>
  </w:style>
  <w:style w:type="paragraph" w:customStyle="1" w:styleId="Bullet2ndlevel">
    <w:name w:val="Bullet 2nd level"/>
    <w:basedOn w:val="Normal"/>
    <w:uiPriority w:val="2"/>
    <w:qFormat/>
    <w:rsid w:val="007A5E71"/>
    <w:pPr>
      <w:numPr>
        <w:numId w:val="6"/>
      </w:numPr>
      <w:tabs>
        <w:tab w:val="clear" w:pos="340"/>
      </w:tabs>
      <w:spacing w:after="120"/>
      <w:ind w:left="624" w:hanging="284"/>
    </w:pPr>
    <w:rPr>
      <w:rFonts w:cs="Arial"/>
    </w:rPr>
  </w:style>
  <w:style w:type="character" w:styleId="UnresolvedMention">
    <w:name w:val="Unresolved Mention"/>
    <w:basedOn w:val="DefaultParagraphFont"/>
    <w:uiPriority w:val="99"/>
    <w:semiHidden/>
    <w:unhideWhenUsed/>
    <w:rsid w:val="007D2C90"/>
    <w:rPr>
      <w:color w:val="605E5C"/>
      <w:shd w:val="clear" w:color="auto" w:fill="E1DFDD"/>
    </w:rPr>
  </w:style>
  <w:style w:type="character" w:styleId="FollowedHyperlink">
    <w:name w:val="FollowedHyperlink"/>
    <w:basedOn w:val="DefaultParagraphFont"/>
    <w:uiPriority w:val="99"/>
    <w:semiHidden/>
    <w:unhideWhenUsed/>
    <w:rsid w:val="00F2218C"/>
    <w:rPr>
      <w:color w:val="F26524" w:themeColor="followedHyperlink"/>
      <w:u w:val="single"/>
    </w:rPr>
  </w:style>
  <w:style w:type="paragraph" w:styleId="TOCHeading">
    <w:name w:val="TOC Heading"/>
    <w:basedOn w:val="Heading1"/>
    <w:next w:val="Normal"/>
    <w:uiPriority w:val="39"/>
    <w:unhideWhenUsed/>
    <w:qFormat/>
    <w:rsid w:val="00722479"/>
    <w:pPr>
      <w:keepNext/>
      <w:keepLines/>
      <w:numPr>
        <w:ilvl w:val="0"/>
      </w:numPr>
      <w:spacing w:after="0" w:line="259" w:lineRule="auto"/>
      <w:outlineLvl w:val="9"/>
    </w:pPr>
    <w:rPr>
      <w:rFonts w:asciiTheme="majorHAnsi" w:eastAsiaTheme="majorEastAsia" w:hAnsiTheme="majorHAnsi" w:cstheme="majorBidi"/>
      <w:b w:val="0"/>
      <w:bCs w:val="0"/>
      <w:caps w:val="0"/>
      <w:color w:val="0A2837" w:themeColor="accent1" w:themeShade="BF"/>
      <w:spacing w:val="0"/>
      <w:sz w:val="32"/>
      <w:szCs w:val="32"/>
      <w:lang w:val="en-US"/>
    </w:rPr>
  </w:style>
  <w:style w:type="paragraph" w:styleId="TOC1">
    <w:name w:val="toc 1"/>
    <w:basedOn w:val="Normal"/>
    <w:next w:val="Normal"/>
    <w:autoRedefine/>
    <w:uiPriority w:val="39"/>
    <w:unhideWhenUsed/>
    <w:rsid w:val="00722479"/>
    <w:pPr>
      <w:spacing w:after="100"/>
    </w:pPr>
  </w:style>
  <w:style w:type="paragraph" w:styleId="TOC2">
    <w:name w:val="toc 2"/>
    <w:basedOn w:val="Normal"/>
    <w:next w:val="Normal"/>
    <w:autoRedefine/>
    <w:uiPriority w:val="39"/>
    <w:unhideWhenUsed/>
    <w:rsid w:val="00722479"/>
    <w:pPr>
      <w:spacing w:after="100"/>
      <w:ind w:left="220"/>
    </w:pPr>
  </w:style>
  <w:style w:type="paragraph" w:styleId="TOC3">
    <w:name w:val="toc 3"/>
    <w:basedOn w:val="Normal"/>
    <w:next w:val="Normal"/>
    <w:autoRedefine/>
    <w:uiPriority w:val="39"/>
    <w:unhideWhenUsed/>
    <w:rsid w:val="00722479"/>
    <w:pPr>
      <w:spacing w:after="100"/>
      <w:ind w:left="440"/>
    </w:pPr>
  </w:style>
  <w:style w:type="paragraph" w:styleId="Revision">
    <w:name w:val="Revision"/>
    <w:hidden/>
    <w:uiPriority w:val="99"/>
    <w:semiHidden/>
    <w:rsid w:val="00967884"/>
    <w:pPr>
      <w:spacing w:after="0" w:line="240" w:lineRule="auto"/>
    </w:pPr>
  </w:style>
  <w:style w:type="paragraph" w:styleId="BodyText">
    <w:name w:val="Body Text"/>
    <w:basedOn w:val="Normal"/>
    <w:link w:val="BodyTextChar"/>
    <w:uiPriority w:val="49"/>
    <w:semiHidden/>
    <w:rsid w:val="0011169B"/>
    <w:pPr>
      <w:spacing w:after="120" w:line="276" w:lineRule="auto"/>
    </w:pPr>
    <w:rPr>
      <w:rFonts w:ascii="Arial" w:eastAsia="Times New Roman" w:hAnsi="Arial" w:cs="Times New Roman"/>
      <w:color w:val="262626"/>
      <w:sz w:val="18"/>
    </w:rPr>
  </w:style>
  <w:style w:type="character" w:customStyle="1" w:styleId="BodyTextChar">
    <w:name w:val="Body Text Char"/>
    <w:basedOn w:val="DefaultParagraphFont"/>
    <w:link w:val="BodyText"/>
    <w:uiPriority w:val="49"/>
    <w:semiHidden/>
    <w:rsid w:val="0011169B"/>
    <w:rPr>
      <w:rFonts w:ascii="Arial" w:eastAsia="Times New Roman" w:hAnsi="Arial" w:cs="Times New Roman"/>
      <w:color w:val="262626"/>
      <w:sz w:val="18"/>
    </w:rPr>
  </w:style>
  <w:style w:type="paragraph" w:customStyle="1" w:styleId="Heading30">
    <w:name w:val="Heading_3"/>
    <w:basedOn w:val="Heading4"/>
    <w:link w:val="Heading3Char0"/>
    <w:qFormat/>
    <w:rsid w:val="00AC290E"/>
    <w:rPr>
      <w:color w:val="33404E" w:themeColor="text2" w:themeShade="BF"/>
      <w:sz w:val="22"/>
      <w:szCs w:val="22"/>
    </w:rPr>
  </w:style>
  <w:style w:type="character" w:customStyle="1" w:styleId="Heading3Char0">
    <w:name w:val="Heading_3 Char"/>
    <w:basedOn w:val="Heading4Char"/>
    <w:link w:val="Heading30"/>
    <w:rsid w:val="00AC290E"/>
    <w:rPr>
      <w:b/>
      <w:bCs/>
      <w:color w:val="33404E" w:themeColor="text2"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cceew.gov.au/environment/protection/waste/sustainable-procurement/environmentally-sustainable-procurement-policy"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inance.gov.au/sites/default/files/2023-11/Net_Zero_Government_Operations_Strategy.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ceew.gov.au/environment/protection/waste/sustainable-procurement/sustainable-procurement-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e.gov.au/government/climate-action-government-operations/aps-net-zero-emissions-2030" TargetMode="External"/><Relationship Id="rId5" Type="http://schemas.openxmlformats.org/officeDocument/2006/relationships/settings" Target="settings.xml"/><Relationship Id="rId15" Type="http://schemas.openxmlformats.org/officeDocument/2006/relationships/hyperlink" Target="https://www.dcceew.gov.au/environment/protection/waste/sustainable-procurement/environmentally-sustainable-procurement-policy"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finance.gov.au/government/climate-action-government-operations/aps-net-zero-emissions-2030" TargetMode="External"/><Relationship Id="rId14" Type="http://schemas.openxmlformats.org/officeDocument/2006/relationships/hyperlink" Target="https://www.dcceew.gov.au/environment/protection/waste/sustainable-procurement/sustainable-procurement-gu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DPP">
      <a:dk1>
        <a:srgbClr val="010101"/>
      </a:dk1>
      <a:lt1>
        <a:srgbClr val="FFFFFF"/>
      </a:lt1>
      <a:dk2>
        <a:srgbClr val="445669"/>
      </a:dk2>
      <a:lt2>
        <a:srgbClr val="FFFFFF"/>
      </a:lt2>
      <a:accent1>
        <a:srgbClr val="0E374B"/>
      </a:accent1>
      <a:accent2>
        <a:srgbClr val="188A95"/>
      </a:accent2>
      <a:accent3>
        <a:srgbClr val="00B2DD"/>
      </a:accent3>
      <a:accent4>
        <a:srgbClr val="FFCB1B"/>
      </a:accent4>
      <a:accent5>
        <a:srgbClr val="F26524"/>
      </a:accent5>
      <a:accent6>
        <a:srgbClr val="808285"/>
      </a:accent6>
      <a:hlink>
        <a:srgbClr val="1E78A3"/>
      </a:hlink>
      <a:folHlink>
        <a:srgbClr val="F2652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99FF3CDC43304B6DBBB78A53EC61BE3D" version="1.0.0">
  <systemFields>
    <field name="Objective-Id">
      <value order="0">A10597331</value>
    </field>
    <field name="Objective-Title">
      <value order="0">Office of the DPP (Cth) Emissions Reduction Plan 2024</value>
    </field>
    <field name="Objective-Description">
      <value order="0"/>
    </field>
    <field name="Objective-CreationStamp">
      <value order="0">2024-08-29T02:34:50Z</value>
    </field>
    <field name="Objective-IsApproved">
      <value order="0">false</value>
    </field>
    <field name="Objective-IsPublished">
      <value order="0">true</value>
    </field>
    <field name="Objective-DatePublished">
      <value order="0">2024-08-29T09:11:03Z</value>
    </field>
    <field name="Objective-ModificationStamp">
      <value order="0">2024-08-29T09:11:03Z</value>
    </field>
    <field name="Objective-Owner">
      <value order="0">Bourne Ashley</value>
    </field>
    <field name="Objective-Path">
      <value order="0">CDPP Global Folder:Enabling Services Group:Financial Services:Office Services:Emission Reduction:Memorandum - Emissions Reduction Plan 2024-2025</value>
    </field>
    <field name="Objective-Parent">
      <value order="0">Memorandum - Emissions Reduction Plan 2024-2025</value>
    </field>
    <field name="Objective-State">
      <value order="0">Published</value>
    </field>
    <field name="Objective-VersionId">
      <value order="0">vA10735657</value>
    </field>
    <field name="Objective-Version">
      <value order="0">1.0</value>
    </field>
    <field name="Objective-VersionNumber">
      <value order="0">3</value>
    </field>
    <field name="Objective-VersionComment">
      <value order="0">For signing.</value>
    </field>
    <field name="Objective-FileNumber">
      <value order="0">2024/00707</value>
    </field>
    <field name="Objective-Classification">
      <value order="0">OFFICIAL</value>
    </field>
    <field name="Objective-Caveats">
      <value order="0"/>
    </field>
  </systemFields>
  <catalogues>
    <catalogue name="Corporate Document Type Catalogue" type="type" ori="id:cA1">
      <field name="Objective-Document Category">
        <value order="0"/>
      </field>
      <field name="Objective-Jurisdiction/Office">
        <value order="0"/>
      </field>
      <field name="Objective-Reference">
        <value order="0"/>
      </field>
      <field name="Objective-Next Review Date">
        <value order="0"/>
      </field>
      <field name="Objective-Review Status">
        <value order="0"/>
      </field>
      <field name="Objective-Spons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99FF3CDC43304B6DBBB78A53EC61BE3D"/>
  </ds:schemaRefs>
</ds:datastoreItem>
</file>

<file path=customXml/itemProps2.xml><?xml version="1.0" encoding="utf-8"?>
<ds:datastoreItem xmlns:ds="http://schemas.openxmlformats.org/officeDocument/2006/customXml" ds:itemID="{EDF95AF8-77C4-4311-BA44-9A1A937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3464</Words>
  <Characters>19750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23168</CharactersWithSpaces>
  <SharedDoc>false</SharedDoc>
  <HLinks>
    <vt:vector size="108" baseType="variant">
      <vt:variant>
        <vt:i4>4128891</vt:i4>
      </vt:variant>
      <vt:variant>
        <vt:i4>99</vt:i4>
      </vt:variant>
      <vt:variant>
        <vt:i4>0</vt:i4>
      </vt:variant>
      <vt:variant>
        <vt:i4>5</vt:i4>
      </vt:variant>
      <vt:variant>
        <vt:lpwstr>https://www.finance.gov.au/sites/default/files/2023-11/Net_Zero_Government_Operations_Strategy.pdf</vt:lpwstr>
      </vt:variant>
      <vt:variant>
        <vt:lpwstr/>
      </vt:variant>
      <vt:variant>
        <vt:i4>7602299</vt:i4>
      </vt:variant>
      <vt:variant>
        <vt:i4>96</vt:i4>
      </vt:variant>
      <vt:variant>
        <vt:i4>0</vt:i4>
      </vt:variant>
      <vt:variant>
        <vt:i4>5</vt:i4>
      </vt:variant>
      <vt:variant>
        <vt:lpwstr>https://www.finance.gov.au/government/climate-action-government-operations/aps-net-zero-emissions-2030</vt:lpwstr>
      </vt:variant>
      <vt:variant>
        <vt:lpwstr/>
      </vt:variant>
      <vt:variant>
        <vt:i4>7602299</vt:i4>
      </vt:variant>
      <vt:variant>
        <vt:i4>93</vt:i4>
      </vt:variant>
      <vt:variant>
        <vt:i4>0</vt:i4>
      </vt:variant>
      <vt:variant>
        <vt:i4>5</vt:i4>
      </vt:variant>
      <vt:variant>
        <vt:lpwstr>https://www.finance.gov.au/government/climate-action-government-operations/aps-net-zero-emissions-2030</vt:lpwstr>
      </vt:variant>
      <vt:variant>
        <vt:lpwstr/>
      </vt:variant>
      <vt:variant>
        <vt:i4>1507378</vt:i4>
      </vt:variant>
      <vt:variant>
        <vt:i4>86</vt:i4>
      </vt:variant>
      <vt:variant>
        <vt:i4>0</vt:i4>
      </vt:variant>
      <vt:variant>
        <vt:i4>5</vt:i4>
      </vt:variant>
      <vt:variant>
        <vt:lpwstr/>
      </vt:variant>
      <vt:variant>
        <vt:lpwstr>_Toc175143259</vt:lpwstr>
      </vt:variant>
      <vt:variant>
        <vt:i4>1507378</vt:i4>
      </vt:variant>
      <vt:variant>
        <vt:i4>80</vt:i4>
      </vt:variant>
      <vt:variant>
        <vt:i4>0</vt:i4>
      </vt:variant>
      <vt:variant>
        <vt:i4>5</vt:i4>
      </vt:variant>
      <vt:variant>
        <vt:lpwstr/>
      </vt:variant>
      <vt:variant>
        <vt:lpwstr>_Toc175143258</vt:lpwstr>
      </vt:variant>
      <vt:variant>
        <vt:i4>1507378</vt:i4>
      </vt:variant>
      <vt:variant>
        <vt:i4>74</vt:i4>
      </vt:variant>
      <vt:variant>
        <vt:i4>0</vt:i4>
      </vt:variant>
      <vt:variant>
        <vt:i4>5</vt:i4>
      </vt:variant>
      <vt:variant>
        <vt:lpwstr/>
      </vt:variant>
      <vt:variant>
        <vt:lpwstr>_Toc175143257</vt:lpwstr>
      </vt:variant>
      <vt:variant>
        <vt:i4>1507378</vt:i4>
      </vt:variant>
      <vt:variant>
        <vt:i4>68</vt:i4>
      </vt:variant>
      <vt:variant>
        <vt:i4>0</vt:i4>
      </vt:variant>
      <vt:variant>
        <vt:i4>5</vt:i4>
      </vt:variant>
      <vt:variant>
        <vt:lpwstr/>
      </vt:variant>
      <vt:variant>
        <vt:lpwstr>_Toc175143256</vt:lpwstr>
      </vt:variant>
      <vt:variant>
        <vt:i4>1507378</vt:i4>
      </vt:variant>
      <vt:variant>
        <vt:i4>62</vt:i4>
      </vt:variant>
      <vt:variant>
        <vt:i4>0</vt:i4>
      </vt:variant>
      <vt:variant>
        <vt:i4>5</vt:i4>
      </vt:variant>
      <vt:variant>
        <vt:lpwstr/>
      </vt:variant>
      <vt:variant>
        <vt:lpwstr>_Toc175143253</vt:lpwstr>
      </vt:variant>
      <vt:variant>
        <vt:i4>1507378</vt:i4>
      </vt:variant>
      <vt:variant>
        <vt:i4>56</vt:i4>
      </vt:variant>
      <vt:variant>
        <vt:i4>0</vt:i4>
      </vt:variant>
      <vt:variant>
        <vt:i4>5</vt:i4>
      </vt:variant>
      <vt:variant>
        <vt:lpwstr/>
      </vt:variant>
      <vt:variant>
        <vt:lpwstr>_Toc175143252</vt:lpwstr>
      </vt:variant>
      <vt:variant>
        <vt:i4>1507378</vt:i4>
      </vt:variant>
      <vt:variant>
        <vt:i4>50</vt:i4>
      </vt:variant>
      <vt:variant>
        <vt:i4>0</vt:i4>
      </vt:variant>
      <vt:variant>
        <vt:i4>5</vt:i4>
      </vt:variant>
      <vt:variant>
        <vt:lpwstr/>
      </vt:variant>
      <vt:variant>
        <vt:lpwstr>_Toc175143251</vt:lpwstr>
      </vt:variant>
      <vt:variant>
        <vt:i4>1507378</vt:i4>
      </vt:variant>
      <vt:variant>
        <vt:i4>44</vt:i4>
      </vt:variant>
      <vt:variant>
        <vt:i4>0</vt:i4>
      </vt:variant>
      <vt:variant>
        <vt:i4>5</vt:i4>
      </vt:variant>
      <vt:variant>
        <vt:lpwstr/>
      </vt:variant>
      <vt:variant>
        <vt:lpwstr>_Toc175143250</vt:lpwstr>
      </vt:variant>
      <vt:variant>
        <vt:i4>1441842</vt:i4>
      </vt:variant>
      <vt:variant>
        <vt:i4>38</vt:i4>
      </vt:variant>
      <vt:variant>
        <vt:i4>0</vt:i4>
      </vt:variant>
      <vt:variant>
        <vt:i4>5</vt:i4>
      </vt:variant>
      <vt:variant>
        <vt:lpwstr/>
      </vt:variant>
      <vt:variant>
        <vt:lpwstr>_Toc175143249</vt:lpwstr>
      </vt:variant>
      <vt:variant>
        <vt:i4>1441842</vt:i4>
      </vt:variant>
      <vt:variant>
        <vt:i4>32</vt:i4>
      </vt:variant>
      <vt:variant>
        <vt:i4>0</vt:i4>
      </vt:variant>
      <vt:variant>
        <vt:i4>5</vt:i4>
      </vt:variant>
      <vt:variant>
        <vt:lpwstr/>
      </vt:variant>
      <vt:variant>
        <vt:lpwstr>_Toc175143248</vt:lpwstr>
      </vt:variant>
      <vt:variant>
        <vt:i4>1441842</vt:i4>
      </vt:variant>
      <vt:variant>
        <vt:i4>26</vt:i4>
      </vt:variant>
      <vt:variant>
        <vt:i4>0</vt:i4>
      </vt:variant>
      <vt:variant>
        <vt:i4>5</vt:i4>
      </vt:variant>
      <vt:variant>
        <vt:lpwstr/>
      </vt:variant>
      <vt:variant>
        <vt:lpwstr>_Toc175143247</vt:lpwstr>
      </vt:variant>
      <vt:variant>
        <vt:i4>1441842</vt:i4>
      </vt:variant>
      <vt:variant>
        <vt:i4>20</vt:i4>
      </vt:variant>
      <vt:variant>
        <vt:i4>0</vt:i4>
      </vt:variant>
      <vt:variant>
        <vt:i4>5</vt:i4>
      </vt:variant>
      <vt:variant>
        <vt:lpwstr/>
      </vt:variant>
      <vt:variant>
        <vt:lpwstr>_Toc175143246</vt:lpwstr>
      </vt:variant>
      <vt:variant>
        <vt:i4>1441842</vt:i4>
      </vt:variant>
      <vt:variant>
        <vt:i4>14</vt:i4>
      </vt:variant>
      <vt:variant>
        <vt:i4>0</vt:i4>
      </vt:variant>
      <vt:variant>
        <vt:i4>5</vt:i4>
      </vt:variant>
      <vt:variant>
        <vt:lpwstr/>
      </vt:variant>
      <vt:variant>
        <vt:lpwstr>_Toc175143245</vt:lpwstr>
      </vt:variant>
      <vt:variant>
        <vt:i4>1441842</vt:i4>
      </vt:variant>
      <vt:variant>
        <vt:i4>8</vt:i4>
      </vt:variant>
      <vt:variant>
        <vt:i4>0</vt:i4>
      </vt:variant>
      <vt:variant>
        <vt:i4>5</vt:i4>
      </vt:variant>
      <vt:variant>
        <vt:lpwstr/>
      </vt:variant>
      <vt:variant>
        <vt:lpwstr>_Toc175143244</vt:lpwstr>
      </vt:variant>
      <vt:variant>
        <vt:i4>1441842</vt:i4>
      </vt:variant>
      <vt:variant>
        <vt:i4>2</vt:i4>
      </vt:variant>
      <vt:variant>
        <vt:i4>0</vt:i4>
      </vt:variant>
      <vt:variant>
        <vt:i4>5</vt:i4>
      </vt:variant>
      <vt:variant>
        <vt:lpwstr/>
      </vt:variant>
      <vt:variant>
        <vt:lpwstr>_Toc175143243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Jade</dc:creator>
  <cp:keywords>[SEC=OFFICIAL]</cp:keywords>
  <dc:description/>
  <cp:lastModifiedBy>Hall Jade</cp:lastModifiedBy>
  <cp:revision>9</cp:revision>
  <cp:lastPrinted>2024-08-30T01:11:00Z</cp:lastPrinted>
  <dcterms:created xsi:type="dcterms:W3CDTF">2024-08-29T07:30:00Z</dcterms:created>
  <dcterms:modified xsi:type="dcterms:W3CDTF">2024-08-30T01:11:00Z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v=2022.1;a=SHA256;h=E18C84E27E7C8D8B2CEC323CE364992127AAB50A03E871690F98D929F2093150</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2024-08-27T04:31:52Z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25EAFA60B144AC548CDAFB7FB25D2FA8B1FE41898FCF191B12F5850A325D9664</vt:lpwstr>
  </property>
  <property fmtid="{D5CDD505-2E9C-101B-9397-08002B2CF9AE}" pid="16" name="MSIP_Label_87d6481e-ccdd-4ab6-8b26-05a0df5699e7_SetDate">
    <vt:lpwstr>2024-08-27T04:31:52Z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a70a4e6be8ac4ac69c825c1d524b9cf3</vt:lpwstr>
  </property>
  <property fmtid="{D5CDD505-2E9C-101B-9397-08002B2CF9AE}" pid="20" name="PM_InsertionValue">
    <vt:lpwstr>OFFICIAL</vt:lpwstr>
  </property>
  <property fmtid="{D5CDD505-2E9C-101B-9397-08002B2CF9AE}" pid="21" name="PM_Originator_Hash_SHA1">
    <vt:lpwstr>F804DBEBAD0D0A80FF33313B13C694B91E641018</vt:lpwstr>
  </property>
  <property fmtid="{D5CDD505-2E9C-101B-9397-08002B2CF9AE}" pid="22" name="PM_DisplayValueSecClassificationWithQualifier">
    <vt:lpwstr>OFFICIAL</vt:lpwstr>
  </property>
  <property fmtid="{D5CDD505-2E9C-101B-9397-08002B2CF9AE}" pid="23" name="PM_Originating_FileId">
    <vt:lpwstr>2B19A33991C640CE84B446C87176C46C</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4366E33D88105DAE2C8B749A1B65111C</vt:lpwstr>
  </property>
  <property fmtid="{D5CDD505-2E9C-101B-9397-08002B2CF9AE}" pid="32" name="PM_Hash_Salt">
    <vt:lpwstr>4366E33D88105DAE2C8B749A1B65111C</vt:lpwstr>
  </property>
  <property fmtid="{D5CDD505-2E9C-101B-9397-08002B2CF9AE}" pid="33" name="PM_Hash_SHA1">
    <vt:lpwstr>70B34B2B267BA63BD4FA8F54CFC5CFF8E33317AB</vt:lpwstr>
  </property>
  <property fmtid="{D5CDD505-2E9C-101B-9397-08002B2CF9AE}" pid="34" name="Objective-Id">
    <vt:lpwstr>A10597331</vt:lpwstr>
  </property>
  <property fmtid="{D5CDD505-2E9C-101B-9397-08002B2CF9AE}" pid="35" name="Objective-Title">
    <vt:lpwstr>Office of the DPP (Cth) Emissions Reduction Plan 2024</vt:lpwstr>
  </property>
  <property fmtid="{D5CDD505-2E9C-101B-9397-08002B2CF9AE}" pid="36" name="Objective-Description">
    <vt:lpwstr/>
  </property>
  <property fmtid="{D5CDD505-2E9C-101B-9397-08002B2CF9AE}" pid="37" name="Objective-CreationStamp">
    <vt:filetime>2024-08-29T02:34:50Z</vt:filetime>
  </property>
  <property fmtid="{D5CDD505-2E9C-101B-9397-08002B2CF9AE}" pid="38" name="Objective-IsApproved">
    <vt:bool>false</vt:bool>
  </property>
  <property fmtid="{D5CDD505-2E9C-101B-9397-08002B2CF9AE}" pid="39" name="Objective-IsPublished">
    <vt:bool>true</vt:bool>
  </property>
  <property fmtid="{D5CDD505-2E9C-101B-9397-08002B2CF9AE}" pid="40" name="Objective-DatePublished">
    <vt:filetime>2024-08-29T09:11:03Z</vt:filetime>
  </property>
  <property fmtid="{D5CDD505-2E9C-101B-9397-08002B2CF9AE}" pid="41" name="Objective-ModificationStamp">
    <vt:filetime>2024-08-29T09:11:03Z</vt:filetime>
  </property>
  <property fmtid="{D5CDD505-2E9C-101B-9397-08002B2CF9AE}" pid="42" name="Objective-Owner">
    <vt:lpwstr>Bourne Ashley</vt:lpwstr>
  </property>
  <property fmtid="{D5CDD505-2E9C-101B-9397-08002B2CF9AE}" pid="43" name="Objective-Path">
    <vt:lpwstr>CDPP Global Folder:Enabling Services Group:Financial Services:Office Services:Emission Reduction:Memorandum - Emissions Reduction Plan 2024-2025</vt:lpwstr>
  </property>
  <property fmtid="{D5CDD505-2E9C-101B-9397-08002B2CF9AE}" pid="44" name="Objective-Parent">
    <vt:lpwstr>Memorandum - Emissions Reduction Plan 2024-2025</vt:lpwstr>
  </property>
  <property fmtid="{D5CDD505-2E9C-101B-9397-08002B2CF9AE}" pid="45" name="Objective-State">
    <vt:lpwstr>Published</vt:lpwstr>
  </property>
  <property fmtid="{D5CDD505-2E9C-101B-9397-08002B2CF9AE}" pid="46" name="Objective-VersionId">
    <vt:lpwstr>vA10735657</vt:lpwstr>
  </property>
  <property fmtid="{D5CDD505-2E9C-101B-9397-08002B2CF9AE}" pid="47" name="Objective-Version">
    <vt:lpwstr>1.0</vt:lpwstr>
  </property>
  <property fmtid="{D5CDD505-2E9C-101B-9397-08002B2CF9AE}" pid="48" name="Objective-VersionNumber">
    <vt:r8>3</vt:r8>
  </property>
  <property fmtid="{D5CDD505-2E9C-101B-9397-08002B2CF9AE}" pid="49" name="Objective-VersionComment">
    <vt:lpwstr>For signing.</vt:lpwstr>
  </property>
  <property fmtid="{D5CDD505-2E9C-101B-9397-08002B2CF9AE}" pid="50" name="Objective-FileNumber">
    <vt:lpwstr>2024/00707</vt:lpwstr>
  </property>
  <property fmtid="{D5CDD505-2E9C-101B-9397-08002B2CF9AE}" pid="51" name="Objective-Classification">
    <vt:lpwstr>OFFICIAL</vt:lpwstr>
  </property>
  <property fmtid="{D5CDD505-2E9C-101B-9397-08002B2CF9AE}" pid="52" name="Objective-Caveats">
    <vt:lpwstr/>
  </property>
  <property fmtid="{D5CDD505-2E9C-101B-9397-08002B2CF9AE}" pid="53" name="Objective-Document Category">
    <vt:lpwstr/>
  </property>
  <property fmtid="{D5CDD505-2E9C-101B-9397-08002B2CF9AE}" pid="54" name="Objective-Jurisdiction/Office">
    <vt:lpwstr/>
  </property>
  <property fmtid="{D5CDD505-2E9C-101B-9397-08002B2CF9AE}" pid="55" name="Objective-Reference">
    <vt:lpwstr/>
  </property>
  <property fmtid="{D5CDD505-2E9C-101B-9397-08002B2CF9AE}" pid="56" name="Objective-Next Review Date">
    <vt:lpwstr/>
  </property>
  <property fmtid="{D5CDD505-2E9C-101B-9397-08002B2CF9AE}" pid="57" name="Objective-Review Status">
    <vt:lpwstr/>
  </property>
  <property fmtid="{D5CDD505-2E9C-101B-9397-08002B2CF9AE}" pid="58" name="Objective-Sponsor">
    <vt:lpwstr/>
  </property>
</Properties>
</file>