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409F" w14:textId="49AACDE9" w:rsidR="0074316D" w:rsidRDefault="00FC5F52" w:rsidP="0074316D">
      <w:pPr>
        <w:pStyle w:val="PartHeading"/>
      </w:pPr>
      <w:bookmarkStart w:id="0" w:name="_Toc164338259"/>
      <w:bookmarkStart w:id="1" w:name="_Toc2588305"/>
      <w:r>
        <w:t>Office of the Director of Public Prosecutions</w:t>
      </w:r>
      <w:bookmarkEnd w:id="0"/>
    </w:p>
    <w:p w14:paraId="544FF039" w14:textId="77777777" w:rsidR="0074316D" w:rsidRDefault="0074316D" w:rsidP="0074316D">
      <w:pPr>
        <w:pStyle w:val="PartHeading"/>
        <w:sectPr w:rsidR="0074316D" w:rsidSect="00577339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type w:val="oddPage"/>
          <w:pgSz w:w="11907" w:h="16840" w:code="9"/>
          <w:pgMar w:top="2835" w:right="2098" w:bottom="2466" w:left="2098" w:header="1814" w:footer="1814" w:gutter="0"/>
          <w:pgNumType w:start="1"/>
          <w:cols w:space="708"/>
          <w:vAlign w:val="center"/>
          <w:titlePg/>
          <w:docGrid w:linePitch="360"/>
        </w:sectPr>
      </w:pPr>
      <w:bookmarkStart w:id="2" w:name="_Toc164338260"/>
      <w:r>
        <w:t xml:space="preserve">Supplementary Additional Estimates </w:t>
      </w:r>
      <w:r w:rsidRPr="00631368">
        <w:t>Statement</w:t>
      </w:r>
      <w:bookmarkEnd w:id="2"/>
    </w:p>
    <w:p w14:paraId="0590DC0D" w14:textId="762CEAB3" w:rsidR="00D57909" w:rsidRPr="00D57909" w:rsidRDefault="0074316D" w:rsidP="00D57909">
      <w:pPr>
        <w:pStyle w:val="Heading1"/>
      </w:pPr>
      <w:bookmarkStart w:id="3" w:name="_Toc164338261"/>
      <w:r>
        <w:lastRenderedPageBreak/>
        <w:t>Office of the Director of Public</w:t>
      </w:r>
      <w:r w:rsidR="00FC5F52">
        <w:t xml:space="preserve"> Prosecutions</w:t>
      </w:r>
      <w:bookmarkEnd w:id="3"/>
    </w:p>
    <w:p w14:paraId="21569F17" w14:textId="77777777" w:rsidR="00D57909" w:rsidRPr="00BE17E5" w:rsidRDefault="00D57909" w:rsidP="00D57909">
      <w:pPr>
        <w:pStyle w:val="Heading2"/>
      </w:pPr>
      <w:r w:rsidRPr="00BE17E5">
        <w:t>Overview of additional appropriations</w:t>
      </w:r>
    </w:p>
    <w:p w14:paraId="579CC723" w14:textId="4451004D" w:rsidR="007C3301" w:rsidRDefault="007C3301" w:rsidP="007C3301">
      <w:r>
        <w:t xml:space="preserve">The Office of the Director of Public Prosecutions (DPP) will receive an increase in funding in 2023–24. This increase is the effect of additional funding to support </w:t>
      </w:r>
      <w:r w:rsidRPr="001E1B2D">
        <w:rPr>
          <w:szCs w:val="19"/>
        </w:rPr>
        <w:t xml:space="preserve">the </w:t>
      </w:r>
      <w:r w:rsidR="001E1B2D">
        <w:rPr>
          <w:szCs w:val="19"/>
        </w:rPr>
        <w:t xml:space="preserve">measure </w:t>
      </w:r>
      <w:r w:rsidR="001E1B2D" w:rsidRPr="001E1B2D">
        <w:rPr>
          <w:szCs w:val="19"/>
        </w:rPr>
        <w:t>Civil Maritime Critical Security Capabilities</w:t>
      </w:r>
      <w:r>
        <w:rPr>
          <w:i/>
          <w:iCs/>
        </w:rPr>
        <w:t xml:space="preserve"> </w:t>
      </w:r>
      <w:r>
        <w:t xml:space="preserve">as demonstrated in </w:t>
      </w:r>
      <w:r>
        <w:rPr>
          <w:i/>
          <w:iCs/>
        </w:rPr>
        <w:t>Table 1.1: Entity 2023–24 supplementary additional estimates measures</w:t>
      </w:r>
      <w:r>
        <w:t>.</w:t>
      </w:r>
    </w:p>
    <w:p w14:paraId="34907457" w14:textId="77777777" w:rsidR="007C3301" w:rsidRDefault="007C3301" w:rsidP="007C3301">
      <w:r>
        <w:t xml:space="preserve">Complete details of resources and performance information can be found in the </w:t>
      </w:r>
      <w:r>
        <w:rPr>
          <w:i/>
          <w:iCs/>
        </w:rPr>
        <w:t>2024–25 Portfolio Budget Statements</w:t>
      </w:r>
      <w:r>
        <w:t>.</w:t>
      </w:r>
    </w:p>
    <w:p w14:paraId="0E80D9CC" w14:textId="77777777" w:rsidR="00D57909" w:rsidRPr="00C24F05" w:rsidRDefault="00D57909" w:rsidP="00D57909">
      <w:pPr>
        <w:pStyle w:val="Heading3"/>
      </w:pPr>
      <w:r w:rsidRPr="00C24F05">
        <w:t>Entity measures table</w:t>
      </w:r>
    </w:p>
    <w:p w14:paraId="0030175E" w14:textId="77777777" w:rsidR="00D57909" w:rsidRDefault="00D57909" w:rsidP="00D57909">
      <w:pPr>
        <w:tabs>
          <w:tab w:val="left" w:pos="2552"/>
        </w:tabs>
      </w:pPr>
      <w:r>
        <w:t>Table 1.1 summarises new Government measures taken since the 2023–24 Additional Estimates</w:t>
      </w:r>
      <w:r w:rsidRPr="006A7788">
        <w:t xml:space="preserve">. </w:t>
      </w:r>
      <w:r>
        <w:t xml:space="preserve">The table is </w:t>
      </w:r>
      <w:r w:rsidRPr="006A7788">
        <w:t xml:space="preserve">split into </w:t>
      </w:r>
      <w:r>
        <w:t xml:space="preserve">receipt and payment measures, with the affected program </w:t>
      </w:r>
      <w:r w:rsidRPr="00486E77">
        <w:t>identified.</w:t>
      </w:r>
    </w:p>
    <w:p w14:paraId="4FFD23B9" w14:textId="77777777" w:rsidR="00D57909" w:rsidRDefault="00D57909" w:rsidP="00D57909">
      <w:pPr>
        <w:pStyle w:val="TableHeading"/>
      </w:pPr>
      <w:r>
        <w:t>Table 1.1: Entity 2023–24 Supplementary additional estimates measures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6"/>
        <w:gridCol w:w="956"/>
        <w:gridCol w:w="932"/>
        <w:gridCol w:w="931"/>
        <w:gridCol w:w="928"/>
        <w:gridCol w:w="928"/>
      </w:tblGrid>
      <w:tr w:rsidR="00C67751" w:rsidRPr="00C67751" w14:paraId="592C41EC" w14:textId="77777777" w:rsidTr="00C67751">
        <w:trPr>
          <w:trHeight w:val="397"/>
        </w:trPr>
        <w:tc>
          <w:tcPr>
            <w:tcW w:w="19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E656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104B74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Program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hideMark/>
          </w:tcPr>
          <w:p w14:paraId="472B95A7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2023-24</w:t>
            </w:r>
            <w:r w:rsidRPr="00C67751">
              <w:rPr>
                <w:rFonts w:ascii="Arial" w:hAnsi="Arial" w:cs="Arial"/>
                <w:sz w:val="16"/>
                <w:szCs w:val="16"/>
              </w:rPr>
              <w:br/>
              <w:t>$'000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912E3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2024-25</w:t>
            </w:r>
            <w:r w:rsidRPr="00C67751">
              <w:rPr>
                <w:rFonts w:ascii="Arial" w:hAnsi="Arial" w:cs="Arial"/>
                <w:sz w:val="16"/>
                <w:szCs w:val="16"/>
              </w:rPr>
              <w:br/>
              <w:t>$'000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hideMark/>
          </w:tcPr>
          <w:p w14:paraId="52F68BE5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2025-26</w:t>
            </w:r>
            <w:r w:rsidRPr="00C67751">
              <w:rPr>
                <w:rFonts w:ascii="Arial" w:hAnsi="Arial" w:cs="Arial"/>
                <w:sz w:val="16"/>
                <w:szCs w:val="16"/>
              </w:rPr>
              <w:br/>
              <w:t>$'000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61ACBA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2026-27</w:t>
            </w:r>
            <w:r w:rsidRPr="00C67751">
              <w:rPr>
                <w:rFonts w:ascii="Arial" w:hAnsi="Arial" w:cs="Arial"/>
                <w:sz w:val="16"/>
                <w:szCs w:val="16"/>
              </w:rPr>
              <w:br/>
              <w:t>$'000</w:t>
            </w:r>
          </w:p>
        </w:tc>
      </w:tr>
      <w:tr w:rsidR="00C67751" w:rsidRPr="00C67751" w14:paraId="4BC5C42D" w14:textId="77777777" w:rsidTr="00C67751">
        <w:trPr>
          <w:trHeight w:val="225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D939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sz w:val="16"/>
                <w:szCs w:val="16"/>
              </w:rPr>
              <w:t>Payment measures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150E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3617A084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A70B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13962897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E94C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751" w:rsidRPr="00C67751" w14:paraId="2472952F" w14:textId="77777777" w:rsidTr="00C67751">
        <w:trPr>
          <w:trHeight w:val="227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3DBB2" w14:textId="2370FC80" w:rsidR="00C67751" w:rsidRPr="00710DA2" w:rsidRDefault="00710DA2" w:rsidP="00710DA2">
            <w:pPr>
              <w:pStyle w:val="Default"/>
              <w:rPr>
                <w:szCs w:val="16"/>
              </w:rPr>
            </w:pPr>
            <w:r>
              <w:rPr>
                <w:sz w:val="16"/>
                <w:szCs w:val="16"/>
              </w:rPr>
              <w:t xml:space="preserve">Civil Maritime Critical Security Capabilities </w:t>
            </w:r>
            <w:r w:rsidR="00C67751" w:rsidRPr="00C67751">
              <w:rPr>
                <w:sz w:val="16"/>
                <w:szCs w:val="16"/>
              </w:rPr>
              <w:t>(a)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3B58" w14:textId="77777777" w:rsidR="00C67751" w:rsidRPr="00C67751" w:rsidRDefault="00C67751" w:rsidP="00C67751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41C1663A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8EF2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2627A585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D5B" w14:textId="5797C0C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751" w:rsidRPr="00C67751" w14:paraId="482AAF54" w14:textId="77777777" w:rsidTr="00C67751">
        <w:trPr>
          <w:trHeight w:val="227"/>
        </w:trPr>
        <w:tc>
          <w:tcPr>
            <w:tcW w:w="19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FFD8" w14:textId="77777777" w:rsidR="00C67751" w:rsidRPr="00C67751" w:rsidRDefault="00C67751" w:rsidP="00C67751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Departmental expenses</w:t>
            </w:r>
          </w:p>
        </w:tc>
        <w:tc>
          <w:tcPr>
            <w:tcW w:w="6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DE28" w14:textId="77777777" w:rsidR="00C67751" w:rsidRPr="00C67751" w:rsidRDefault="00C67751" w:rsidP="00C67751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14:paraId="4A677275" w14:textId="1B28BFB0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EC8BE" w14:textId="5282EA94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1,631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</w:tcPr>
          <w:p w14:paraId="4F8823D9" w14:textId="6906313F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41B5E" w14:textId="26875CD4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67751" w:rsidRPr="00C67751" w14:paraId="699FAF8A" w14:textId="77777777" w:rsidTr="00C67751">
        <w:trPr>
          <w:trHeight w:val="227"/>
        </w:trPr>
        <w:tc>
          <w:tcPr>
            <w:tcW w:w="1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D7FF1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sz w:val="16"/>
                <w:szCs w:val="16"/>
              </w:rPr>
              <w:t>Total payment measures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23A76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14:paraId="108988A7" w14:textId="7DDABC2B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sz w:val="16"/>
                <w:szCs w:val="16"/>
              </w:rPr>
              <w:t>409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C2299" w14:textId="031C3DCA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sz w:val="16"/>
                <w:szCs w:val="16"/>
              </w:rPr>
              <w:t>1,631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</w:tcPr>
          <w:p w14:paraId="0ED7F657" w14:textId="0058E1FA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22846" w14:textId="7913D762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</w:tr>
    </w:tbl>
    <w:p w14:paraId="753DE6DC" w14:textId="3864D3C3" w:rsidR="00E51DF5" w:rsidRPr="00E51DF5" w:rsidRDefault="00D57909" w:rsidP="00E51DF5">
      <w:pPr>
        <w:pStyle w:val="TableGraphic"/>
        <w:rPr>
          <w:rFonts w:ascii="Arial" w:hAnsi="Arial" w:cs="Arial"/>
          <w:sz w:val="16"/>
          <w:szCs w:val="16"/>
        </w:rPr>
      </w:pPr>
      <w:r w:rsidRPr="00E51DF5">
        <w:rPr>
          <w:rFonts w:ascii="Arial" w:hAnsi="Arial" w:cs="Arial"/>
          <w:sz w:val="16"/>
          <w:szCs w:val="16"/>
        </w:rPr>
        <w:t>Prepared on a Government Financial Statistics (Underlying Cash) basis. Figures displayed as a negative (-) represent a decrease in funds</w:t>
      </w:r>
      <w:r w:rsidR="00E51DF5" w:rsidRPr="00E51DF5">
        <w:rPr>
          <w:rFonts w:ascii="Arial" w:hAnsi="Arial" w:cs="Arial"/>
          <w:sz w:val="16"/>
          <w:szCs w:val="16"/>
        </w:rPr>
        <w:t>.</w:t>
      </w:r>
    </w:p>
    <w:p w14:paraId="602B9258" w14:textId="6B542128" w:rsidR="00C67751" w:rsidRPr="00E51DF5" w:rsidRDefault="00E51DF5" w:rsidP="00E51DF5">
      <w:pPr>
        <w:pStyle w:val="HeaderOdd"/>
        <w:numPr>
          <w:ilvl w:val="0"/>
          <w:numId w:val="9"/>
        </w:numPr>
        <w:jc w:val="left"/>
        <w:rPr>
          <w:sz w:val="16"/>
          <w:szCs w:val="16"/>
        </w:rPr>
      </w:pPr>
      <w:r w:rsidRPr="00E51DF5">
        <w:rPr>
          <w:sz w:val="16"/>
          <w:szCs w:val="16"/>
        </w:rPr>
        <w:t xml:space="preserve">The </w:t>
      </w:r>
      <w:r w:rsidR="00C67751" w:rsidRPr="00E51DF5">
        <w:rPr>
          <w:sz w:val="16"/>
          <w:szCs w:val="16"/>
        </w:rPr>
        <w:t>lead entity for the measure</w:t>
      </w:r>
      <w:r w:rsidR="00710DA2">
        <w:rPr>
          <w:sz w:val="16"/>
          <w:szCs w:val="16"/>
        </w:rPr>
        <w:t xml:space="preserve"> </w:t>
      </w:r>
      <w:r w:rsidR="00710DA2" w:rsidRPr="00710DA2">
        <w:rPr>
          <w:sz w:val="16"/>
          <w:szCs w:val="16"/>
        </w:rPr>
        <w:t>Civil Maritime Critical Security Capabilities</w:t>
      </w:r>
      <w:r w:rsidR="00C67751" w:rsidRPr="00E51DF5">
        <w:rPr>
          <w:sz w:val="16"/>
          <w:szCs w:val="16"/>
        </w:rPr>
        <w:t xml:space="preserve"> is the Department of Home Affairs. The full measure description and package details appear in the 2024-25 Budget Paper No. 2 under the Home Affairs Portfolio.</w:t>
      </w:r>
    </w:p>
    <w:p w14:paraId="3FF7A191" w14:textId="0E61FCCA" w:rsidR="00D57909" w:rsidRPr="00EA3CB1" w:rsidRDefault="00D57909" w:rsidP="00E51DF5">
      <w:pPr>
        <w:pStyle w:val="ChartandTableFootnoteAlpha"/>
        <w:numPr>
          <w:ilvl w:val="0"/>
          <w:numId w:val="7"/>
        </w:numPr>
      </w:pPr>
      <w:r w:rsidRPr="00EA3CB1">
        <w:br w:type="page"/>
      </w:r>
    </w:p>
    <w:p w14:paraId="19FE0501" w14:textId="77777777" w:rsidR="00D57909" w:rsidRPr="00C24F05" w:rsidRDefault="00D57909" w:rsidP="00D57909">
      <w:pPr>
        <w:pStyle w:val="Heading3"/>
      </w:pPr>
      <w:r>
        <w:lastRenderedPageBreak/>
        <w:t>Supplementary a</w:t>
      </w:r>
      <w:r w:rsidRPr="00C24F05">
        <w:t>dditional estimates and variations</w:t>
      </w:r>
    </w:p>
    <w:p w14:paraId="4112BC39" w14:textId="3FE9DAD6" w:rsidR="00D57909" w:rsidRDefault="00D57909" w:rsidP="00D57909">
      <w:r>
        <w:t xml:space="preserve">The following table details the changes to the resourcing for </w:t>
      </w:r>
      <w:r w:rsidR="00D03621">
        <w:t xml:space="preserve">the </w:t>
      </w:r>
      <w:r w:rsidR="0044460C">
        <w:t>DPP</w:t>
      </w:r>
      <w:r w:rsidR="00D03621">
        <w:t xml:space="preserve"> </w:t>
      </w:r>
      <w:r w:rsidRPr="003E6480">
        <w:t xml:space="preserve">at </w:t>
      </w:r>
      <w:r>
        <w:t xml:space="preserve">Supplementary Additional </w:t>
      </w:r>
      <w:r w:rsidRPr="003E6480">
        <w:t xml:space="preserve">Estimates, by outcome. The following table details the estimates and variations resulting from new measures and any other variations (if applicable) since the </w:t>
      </w:r>
      <w:r>
        <w:t>2023–24</w:t>
      </w:r>
      <w:r w:rsidRPr="003E6480">
        <w:t xml:space="preserve"> </w:t>
      </w:r>
      <w:r>
        <w:t>Additional Estimates</w:t>
      </w:r>
      <w:r w:rsidR="0044460C">
        <w:t xml:space="preserve"> </w:t>
      </w:r>
      <w:r w:rsidRPr="0039044E">
        <w:t xml:space="preserve">in Appropriation Bills (No. </w:t>
      </w:r>
      <w:r>
        <w:t>5</w:t>
      </w:r>
      <w:r w:rsidRPr="0039044E">
        <w:t xml:space="preserve"> and No. </w:t>
      </w:r>
      <w:r>
        <w:t>6</w:t>
      </w:r>
      <w:r w:rsidRPr="0039044E">
        <w:t>).</w:t>
      </w:r>
    </w:p>
    <w:p w14:paraId="06CBADC7" w14:textId="77777777" w:rsidR="00D57909" w:rsidRDefault="00D57909" w:rsidP="00D57909">
      <w:pPr>
        <w:pStyle w:val="TableHeading"/>
      </w:pPr>
      <w:r>
        <w:t>Table 1.2: Supplementary additional estimates and variations to outcomes from measures and other variations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01"/>
        <w:gridCol w:w="942"/>
        <w:gridCol w:w="945"/>
        <w:gridCol w:w="942"/>
        <w:gridCol w:w="942"/>
        <w:gridCol w:w="939"/>
      </w:tblGrid>
      <w:tr w:rsidR="00C67751" w:rsidRPr="00C67751" w14:paraId="760820B2" w14:textId="77777777" w:rsidTr="00D03621">
        <w:trPr>
          <w:trHeight w:val="397"/>
        </w:trPr>
        <w:tc>
          <w:tcPr>
            <w:tcW w:w="19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F4B67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C86FC" w14:textId="77777777" w:rsidR="00C67751" w:rsidRPr="00C67751" w:rsidRDefault="00C67751" w:rsidP="00C67751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color w:val="000000"/>
                <w:sz w:val="16"/>
                <w:szCs w:val="16"/>
              </w:rPr>
              <w:t xml:space="preserve">Program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hideMark/>
          </w:tcPr>
          <w:p w14:paraId="61933FD8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2023-24</w:t>
            </w:r>
            <w:r w:rsidRPr="00C67751">
              <w:rPr>
                <w:rFonts w:ascii="Arial" w:hAnsi="Arial" w:cs="Arial"/>
                <w:sz w:val="16"/>
                <w:szCs w:val="16"/>
              </w:rPr>
              <w:br/>
              <w:t>$'000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53A8D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2024-25</w:t>
            </w:r>
            <w:r w:rsidRPr="00C67751">
              <w:rPr>
                <w:rFonts w:ascii="Arial" w:hAnsi="Arial" w:cs="Arial"/>
                <w:sz w:val="16"/>
                <w:szCs w:val="16"/>
              </w:rPr>
              <w:br/>
              <w:t>$'000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A42172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2025-26</w:t>
            </w:r>
            <w:r w:rsidRPr="00C67751">
              <w:rPr>
                <w:rFonts w:ascii="Arial" w:hAnsi="Arial" w:cs="Arial"/>
                <w:sz w:val="16"/>
                <w:szCs w:val="16"/>
              </w:rPr>
              <w:br/>
              <w:t>$'000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A3CD4F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2026-27</w:t>
            </w:r>
            <w:r w:rsidRPr="00C67751">
              <w:rPr>
                <w:rFonts w:ascii="Arial" w:hAnsi="Arial" w:cs="Arial"/>
                <w:sz w:val="16"/>
                <w:szCs w:val="16"/>
              </w:rPr>
              <w:br/>
              <w:t>$'000</w:t>
            </w:r>
          </w:p>
        </w:tc>
      </w:tr>
      <w:tr w:rsidR="00C67751" w:rsidRPr="00C67751" w14:paraId="533376CD" w14:textId="77777777" w:rsidTr="00D03621">
        <w:trPr>
          <w:trHeight w:val="229"/>
        </w:trPr>
        <w:tc>
          <w:tcPr>
            <w:tcW w:w="1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B3411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Outcome 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3D20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345AE35F" w14:textId="77777777" w:rsidR="00C67751" w:rsidRPr="00C67751" w:rsidRDefault="00C67751" w:rsidP="00C67751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78D3" w14:textId="77777777" w:rsidR="00C67751" w:rsidRPr="00C67751" w:rsidRDefault="00C67751" w:rsidP="00C67751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EACE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A480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67751" w:rsidRPr="00C67751" w14:paraId="4F3D6F11" w14:textId="77777777" w:rsidTr="00D03621">
        <w:trPr>
          <w:trHeight w:val="225"/>
        </w:trPr>
        <w:tc>
          <w:tcPr>
            <w:tcW w:w="1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6811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Departmental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4CF6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43AF4BB7" w14:textId="77777777" w:rsidR="00C67751" w:rsidRPr="00C67751" w:rsidRDefault="00C67751" w:rsidP="00C67751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76DC" w14:textId="77777777" w:rsidR="00C67751" w:rsidRPr="00C67751" w:rsidRDefault="00C67751" w:rsidP="00C67751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A56B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EF5B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67751" w:rsidRPr="00C67751" w14:paraId="7C9CE388" w14:textId="77777777" w:rsidTr="00D03621">
        <w:trPr>
          <w:trHeight w:val="225"/>
        </w:trPr>
        <w:tc>
          <w:tcPr>
            <w:tcW w:w="1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AC66E" w14:textId="77777777" w:rsidR="00C67751" w:rsidRPr="00C67751" w:rsidRDefault="00C67751" w:rsidP="00C67751">
            <w:pPr>
              <w:spacing w:before="0" w:after="0" w:line="240" w:lineRule="auto"/>
              <w:ind w:firstLineChars="100" w:firstLine="16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Annual appropriations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28FA" w14:textId="77777777" w:rsidR="00C67751" w:rsidRPr="00C67751" w:rsidRDefault="00C67751" w:rsidP="00C67751">
            <w:pPr>
              <w:spacing w:before="0" w:after="0" w:line="240" w:lineRule="auto"/>
              <w:ind w:firstLineChars="100" w:firstLine="16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475FCF72" w14:textId="77777777" w:rsidR="00C67751" w:rsidRPr="00C67751" w:rsidRDefault="00C67751" w:rsidP="00C67751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23FA" w14:textId="77777777" w:rsidR="00C67751" w:rsidRPr="00C67751" w:rsidRDefault="00C67751" w:rsidP="00C67751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0650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F265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67751" w:rsidRPr="00C67751" w14:paraId="66E52FDB" w14:textId="77777777" w:rsidTr="00D03621">
        <w:trPr>
          <w:trHeight w:val="340"/>
        </w:trPr>
        <w:tc>
          <w:tcPr>
            <w:tcW w:w="1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C641" w14:textId="4AA3829A" w:rsidR="00C67751" w:rsidRPr="003B2073" w:rsidRDefault="003B2073" w:rsidP="00C67751">
            <w:pPr>
              <w:spacing w:before="0" w:after="0" w:line="240" w:lineRule="auto"/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073">
              <w:rPr>
                <w:rFonts w:ascii="Arial" w:hAnsi="Arial" w:cs="Arial"/>
                <w:sz w:val="16"/>
                <w:szCs w:val="16"/>
              </w:rPr>
              <w:t xml:space="preserve">Civil Maritime Critical Security </w:t>
            </w: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3B2073">
              <w:rPr>
                <w:rFonts w:ascii="Arial" w:hAnsi="Arial" w:cs="Arial"/>
                <w:sz w:val="16"/>
                <w:szCs w:val="16"/>
              </w:rPr>
              <w:t>Capabilities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6A2D" w14:textId="77777777" w:rsidR="00C67751" w:rsidRPr="00C67751" w:rsidRDefault="00C67751" w:rsidP="00C67751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378933E3" w14:textId="61C05AE5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7751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68E7" w14:textId="1B11DBC0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color w:val="000000"/>
                <w:sz w:val="16"/>
                <w:szCs w:val="16"/>
              </w:rPr>
              <w:t>1,631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2CCC" w14:textId="22DE2ECD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87DF" w14:textId="55EDF048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67751" w:rsidRPr="00C67751" w14:paraId="2ADA8126" w14:textId="77777777" w:rsidTr="00D03621">
        <w:trPr>
          <w:trHeight w:val="340"/>
        </w:trPr>
        <w:tc>
          <w:tcPr>
            <w:tcW w:w="1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9C718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Net impact on appropriations for</w:t>
            </w: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 Outcome 1 (departmental)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91B9" w14:textId="77777777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14:paraId="076E5448" w14:textId="3357E3D1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40694" w14:textId="28C61483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1,631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D2CFC" w14:textId="08FEBFA4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3BBDA" w14:textId="21898F0B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67751" w:rsidRPr="00C67751" w14:paraId="0CE1AEB1" w14:textId="77777777" w:rsidTr="00D03621">
        <w:trPr>
          <w:trHeight w:val="340"/>
        </w:trPr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95850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net impact on</w:t>
            </w: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 appropriations for Outcome 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DAFCE" w14:textId="77777777" w:rsidR="00C67751" w:rsidRPr="00C67751" w:rsidRDefault="00C67751" w:rsidP="00C6775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bottom"/>
            <w:hideMark/>
          </w:tcPr>
          <w:p w14:paraId="27AE5B43" w14:textId="3C581E7D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FE29E" w14:textId="5E8EB55D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1,631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5B9F7" w14:textId="5D3DDE94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C0827" w14:textId="187C0F23" w:rsidR="00C67751" w:rsidRPr="00C67751" w:rsidRDefault="00C67751" w:rsidP="00C6775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7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14:paraId="2483C3A4" w14:textId="0EF01E46" w:rsidR="00D03621" w:rsidRDefault="00D03621" w:rsidP="00D03621">
      <w:pPr>
        <w:pStyle w:val="ChartandTableFootnote"/>
      </w:pPr>
      <w:r w:rsidRPr="00C676A4">
        <w:t>Prepared</w:t>
      </w:r>
      <w:r w:rsidRPr="00D03621">
        <w:t xml:space="preserve"> on a resourcing (i.e. appropriations available) basis.</w:t>
      </w:r>
    </w:p>
    <w:p w14:paraId="50FB3C19" w14:textId="7FC36978" w:rsidR="00D57909" w:rsidRDefault="00D57909" w:rsidP="00D57909">
      <w:r w:rsidRPr="009F4AAB">
        <w:t>The following table detail</w:t>
      </w:r>
      <w:r w:rsidR="00C5377D">
        <w:t>s</w:t>
      </w:r>
      <w:r w:rsidRPr="009F4AAB">
        <w:t xml:space="preserve"> the </w:t>
      </w:r>
      <w:r>
        <w:t xml:space="preserve">Supplementary </w:t>
      </w:r>
      <w:r w:rsidRPr="009F4AAB">
        <w:t xml:space="preserve">Additional Estimates sought for </w:t>
      </w:r>
      <w:r w:rsidR="00D03621">
        <w:t xml:space="preserve">the </w:t>
      </w:r>
      <w:r w:rsidR="0044460C">
        <w:t>DPP</w:t>
      </w:r>
      <w:r w:rsidR="00D03621">
        <w:t xml:space="preserve"> </w:t>
      </w:r>
      <w:r w:rsidRPr="009F4AAB">
        <w:t xml:space="preserve">through </w:t>
      </w:r>
      <w:r w:rsidRPr="0039044E">
        <w:t xml:space="preserve">Appropriation Bill (No. </w:t>
      </w:r>
      <w:r>
        <w:t>5</w:t>
      </w:r>
      <w:r w:rsidRPr="0039044E">
        <w:t>).</w:t>
      </w:r>
    </w:p>
    <w:p w14:paraId="513D7973" w14:textId="77777777" w:rsidR="00D57909" w:rsidRDefault="00D57909" w:rsidP="00D57909">
      <w:pPr>
        <w:pStyle w:val="TableHeading"/>
        <w:rPr>
          <w:lang w:val="en-GB"/>
        </w:rPr>
      </w:pPr>
      <w:r>
        <w:rPr>
          <w:lang w:val="en-GB"/>
        </w:rPr>
        <w:t>Table 1.3: Appropriation Bill (No. 5) 2023–2024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34"/>
        <w:gridCol w:w="891"/>
        <w:gridCol w:w="888"/>
        <w:gridCol w:w="870"/>
        <w:gridCol w:w="1314"/>
        <w:gridCol w:w="1314"/>
      </w:tblGrid>
      <w:tr w:rsidR="00D03621" w:rsidRPr="00D03621" w14:paraId="2DB290F4" w14:textId="77777777" w:rsidTr="00D03621">
        <w:trPr>
          <w:trHeight w:val="1350"/>
        </w:trPr>
        <w:tc>
          <w:tcPr>
            <w:tcW w:w="1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404A" w14:textId="77777777" w:rsidR="00D03621" w:rsidRPr="00D03621" w:rsidRDefault="00D03621" w:rsidP="00D036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3D5104" w14:textId="77777777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2022-23</w:t>
            </w:r>
            <w:r w:rsidRPr="00D0362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Available</w:t>
            </w:r>
            <w:r w:rsidRPr="00D0362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$'000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59E323" w14:textId="77777777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  <w:t>Budget</w:t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  <w:t>$'000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6BAA01" w14:textId="77777777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  <w:t>Revised</w:t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  <w:t>$'000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E6E6E6"/>
            <w:hideMark/>
          </w:tcPr>
          <w:p w14:paraId="4C65BE9B" w14:textId="77777777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Supplementary</w:t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  <w:t>Additional</w:t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  <w:t>Estimates</w:t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  <w:t>$'000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E6E6E6"/>
            <w:hideMark/>
          </w:tcPr>
          <w:p w14:paraId="764E1CC4" w14:textId="77777777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Supplementary Additional Estimates Reduction</w:t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br/>
              <w:t>$'000</w:t>
            </w:r>
          </w:p>
        </w:tc>
      </w:tr>
      <w:tr w:rsidR="00D03621" w:rsidRPr="00D03621" w14:paraId="3F83C19B" w14:textId="77777777" w:rsidTr="00D03621">
        <w:trPr>
          <w:trHeight w:val="225"/>
        </w:trPr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9CF5" w14:textId="77777777" w:rsidR="00D03621" w:rsidRPr="00D03621" w:rsidRDefault="00D03621" w:rsidP="00D0362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Departmental program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454F" w14:textId="77777777" w:rsidR="00D03621" w:rsidRPr="00D03621" w:rsidRDefault="00D03621" w:rsidP="00D0362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CD86" w14:textId="77777777" w:rsidR="00D03621" w:rsidRPr="00D03621" w:rsidRDefault="00D03621" w:rsidP="00D03621">
            <w:pPr>
              <w:spacing w:before="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8831" w14:textId="77777777" w:rsidR="00D03621" w:rsidRPr="00D03621" w:rsidRDefault="00D03621" w:rsidP="00D03621">
            <w:pPr>
              <w:spacing w:before="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66EA729A" w14:textId="77777777" w:rsidR="00D03621" w:rsidRPr="00D03621" w:rsidRDefault="00D03621" w:rsidP="00D036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4B3B5DA1" w14:textId="77777777" w:rsidR="00D03621" w:rsidRPr="00D03621" w:rsidRDefault="00D03621" w:rsidP="00D036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03621" w:rsidRPr="00D03621" w14:paraId="1BE9E645" w14:textId="77777777" w:rsidTr="00394EF4">
        <w:trPr>
          <w:trHeight w:val="1417"/>
        </w:trPr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7222A" w14:textId="77777777" w:rsidR="00D03621" w:rsidRPr="00D03621" w:rsidRDefault="00D03621" w:rsidP="00394EF4">
            <w:pPr>
              <w:spacing w:before="0" w:after="0" w:line="240" w:lineRule="auto"/>
              <w:ind w:firstLineChars="100" w:firstLine="16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Outcome 1</w:t>
            </w: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Contribute to a fair, safe and just society by delivering an effective, independent prosecution service in accordance with the Prosecution Policy of the Commonwealth.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6A57" w14:textId="1FC14A03" w:rsidR="00D03621" w:rsidRPr="00D03621" w:rsidRDefault="00D03621" w:rsidP="00394EF4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96,455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7794" w14:textId="1D2CCB27" w:rsidR="00D03621" w:rsidRPr="00D03621" w:rsidRDefault="00D03621" w:rsidP="00394EF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99,781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38DD" w14:textId="29E2AA31" w:rsidR="00D03621" w:rsidRPr="00D03621" w:rsidRDefault="00D03621" w:rsidP="00394EF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108,287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03B456CC" w14:textId="3D1B236B" w:rsidR="00D03621" w:rsidRPr="00D03621" w:rsidRDefault="00D03621" w:rsidP="00394EF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bottom"/>
            <w:hideMark/>
          </w:tcPr>
          <w:p w14:paraId="387281CA" w14:textId="1413D346" w:rsidR="00D03621" w:rsidRPr="00D03621" w:rsidRDefault="00D03621" w:rsidP="00394EF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03621" w:rsidRPr="00D03621" w14:paraId="0A163E45" w14:textId="77777777" w:rsidTr="00D03621">
        <w:trPr>
          <w:trHeight w:val="225"/>
        </w:trPr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AE45" w14:textId="77777777" w:rsidR="00D03621" w:rsidRPr="00D03621" w:rsidRDefault="00D03621" w:rsidP="00D0362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departmental</w:t>
            </w:r>
          </w:p>
        </w:tc>
        <w:tc>
          <w:tcPr>
            <w:tcW w:w="57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B178AB" w14:textId="049CE745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96,455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6EE54D" w14:textId="1342F96A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99,781</w:t>
            </w:r>
          </w:p>
        </w:tc>
        <w:tc>
          <w:tcPr>
            <w:tcW w:w="5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5FA91D" w14:textId="6982D277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108,287</w:t>
            </w:r>
          </w:p>
        </w:tc>
        <w:tc>
          <w:tcPr>
            <w:tcW w:w="8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14:paraId="14E7BE57" w14:textId="71A8874D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409</w:t>
            </w:r>
          </w:p>
        </w:tc>
        <w:tc>
          <w:tcPr>
            <w:tcW w:w="8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14:paraId="197DCC60" w14:textId="4DDC3CDE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03621" w:rsidRPr="00D03621" w14:paraId="4054CBC4" w14:textId="77777777" w:rsidTr="00D03621">
        <w:trPr>
          <w:trHeight w:val="450"/>
        </w:trPr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5F83CF" w14:textId="77777777" w:rsidR="00D03621" w:rsidRPr="00D03621" w:rsidRDefault="00D03621" w:rsidP="00D0362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administered</w:t>
            </w: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 and departmental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504C27" w14:textId="2F1341A0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96,455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86579A" w14:textId="72592B5F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99,781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DB63EB" w14:textId="1C1F4A13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108,287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14:paraId="0B951853" w14:textId="24EE21B7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E6E6"/>
            <w:noWrap/>
            <w:vAlign w:val="bottom"/>
            <w:hideMark/>
          </w:tcPr>
          <w:p w14:paraId="71D2D57B" w14:textId="69A6B31F" w:rsidR="00D03621" w:rsidRPr="00D03621" w:rsidRDefault="00D03621" w:rsidP="00D036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36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14:paraId="72B52A79" w14:textId="77777777" w:rsidR="00D57909" w:rsidRPr="007B2BBB" w:rsidRDefault="00D57909" w:rsidP="00D57909">
      <w:pPr>
        <w:pStyle w:val="ChartandTableFootnote"/>
      </w:pPr>
      <w:r w:rsidRPr="008E799A">
        <w:rPr>
          <w:b/>
        </w:rPr>
        <w:t>Note 1:</w:t>
      </w:r>
      <w:r w:rsidRPr="007B2BBB">
        <w:t xml:space="preserve"> 2022</w:t>
      </w:r>
      <w:r>
        <w:t>–</w:t>
      </w:r>
      <w:r w:rsidRPr="007B2BBB">
        <w:t>23 available appropriation is included to allow a comparison of this year's appropriation with what was made available for use in the previous year.</w:t>
      </w:r>
    </w:p>
    <w:p w14:paraId="0EE06346" w14:textId="77777777" w:rsidR="00D57909" w:rsidRDefault="00D57909" w:rsidP="00D57909"/>
    <w:p w14:paraId="08AF5DBC" w14:textId="5F8F1333" w:rsidR="007C3301" w:rsidRPr="00565E1D" w:rsidRDefault="007C3301" w:rsidP="00D57909">
      <w:pPr>
        <w:sectPr w:rsidR="007C3301" w:rsidRPr="00565E1D" w:rsidSect="00A7187A">
          <w:headerReference w:type="even" r:id="rId19"/>
          <w:headerReference w:type="default" r:id="rId20"/>
          <w:footerReference w:type="even" r:id="rId21"/>
          <w:headerReference w:type="first" r:id="rId22"/>
          <w:footerReference w:type="first" r:id="rId23"/>
          <w:type w:val="oddPage"/>
          <w:pgSz w:w="11907" w:h="16840" w:code="9"/>
          <w:pgMar w:top="2835" w:right="2098" w:bottom="2466" w:left="2098" w:header="1814" w:footer="1814" w:gutter="0"/>
          <w:pgNumType w:start="1"/>
          <w:cols w:space="708"/>
          <w:titlePg/>
          <w:docGrid w:linePitch="360"/>
        </w:sectPr>
      </w:pPr>
    </w:p>
    <w:bookmarkEnd w:id="1"/>
    <w:p w14:paraId="49488BE6" w14:textId="4CAC14AF" w:rsidR="00B613EB" w:rsidRDefault="00B613EB" w:rsidP="0052122F">
      <w:pPr>
        <w:pStyle w:val="Heading1"/>
      </w:pPr>
    </w:p>
    <w:sectPr w:rsidR="00B613EB" w:rsidSect="00A7187A">
      <w:headerReference w:type="first" r:id="rId24"/>
      <w:footerReference w:type="first" r:id="rId25"/>
      <w:type w:val="oddPage"/>
      <w:pgSz w:w="11907" w:h="16840" w:code="9"/>
      <w:pgMar w:top="2835" w:right="2098" w:bottom="2466" w:left="2098" w:header="1814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AE64" w14:textId="77777777" w:rsidR="00DA7155" w:rsidRDefault="00DA7155" w:rsidP="00F51DAC">
      <w:pPr>
        <w:spacing w:after="0" w:line="240" w:lineRule="auto"/>
      </w:pPr>
      <w:r>
        <w:separator/>
      </w:r>
    </w:p>
  </w:endnote>
  <w:endnote w:type="continuationSeparator" w:id="0">
    <w:p w14:paraId="3EC236B6" w14:textId="77777777" w:rsidR="00DA7155" w:rsidRDefault="00DA7155" w:rsidP="00F51DAC">
      <w:pPr>
        <w:spacing w:after="0" w:line="240" w:lineRule="auto"/>
      </w:pPr>
      <w:r>
        <w:continuationSeparator/>
      </w:r>
    </w:p>
  </w:endnote>
  <w:endnote w:type="continuationNotice" w:id="1">
    <w:p w14:paraId="6076E923" w14:textId="77777777" w:rsidR="00DA7155" w:rsidRDefault="00DA7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BC73" w14:textId="77824C64" w:rsidR="000F32EA" w:rsidRPr="001A7EC7" w:rsidRDefault="000F32EA" w:rsidP="001A7EC7">
    <w:pPr>
      <w:pStyle w:val="FooterEven"/>
    </w:pPr>
    <w:r w:rsidRPr="006E442F">
      <w:rPr>
        <w:b/>
      </w:rPr>
      <w:t xml:space="preserve">Page </w:t>
    </w:r>
    <w:r>
      <w:rPr>
        <w:b/>
      </w:rPr>
      <w:t>14</w:t>
    </w:r>
    <w:r>
      <w:rPr>
        <w:noProof/>
      </w:rPr>
      <w:t> </w:t>
    </w:r>
    <w:r>
      <w:rPr>
        <w:noProof/>
      </w:rPr>
      <w:t>|</w:t>
    </w:r>
    <w:r>
      <w:rPr>
        <w:noProof/>
      </w:rPr>
      <w:t> </w:t>
    </w:r>
    <w:r w:rsidR="00A155CD">
      <w:fldChar w:fldCharType="begin"/>
    </w:r>
    <w:r w:rsidR="00A155CD">
      <w:instrText xml:space="preserve"> STYLEREF  "Heading 1 - No TOC"  \* MERGEFORMAT </w:instrText>
    </w:r>
    <w:r w:rsidR="00A155CD">
      <w:fldChar w:fldCharType="separate"/>
    </w:r>
    <w:r w:rsidR="009748E8">
      <w:rPr>
        <w:noProof/>
      </w:rPr>
      <w:t>User guide</w:t>
    </w:r>
    <w:r w:rsidR="00A155CD">
      <w:rPr>
        <w:noProof/>
      </w:rPr>
      <w:fldChar w:fldCharType="end"/>
    </w:r>
    <w:r w:rsidR="00A155CD">
      <w:fldChar w:fldCharType="begin"/>
    </w:r>
    <w:r w:rsidR="00A155CD">
      <w:instrText xml:space="preserve"> STYLEREF  "Heading 1" </w:instrText>
    </w:r>
    <w:r w:rsidR="00A155CD">
      <w:fldChar w:fldCharType="separate"/>
    </w:r>
    <w:r w:rsidR="009748E8">
      <w:rPr>
        <w:noProof/>
      </w:rPr>
      <w:t>Australian Federal Police</w:t>
    </w:r>
    <w:r w:rsidR="00A155C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92FA" w14:textId="77777777" w:rsidR="000F32EA" w:rsidRPr="0074316D" w:rsidRDefault="000F32EA" w:rsidP="00743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2755" w14:textId="6820273C" w:rsidR="000F32EA" w:rsidRPr="001A7EC7" w:rsidRDefault="000F32EA" w:rsidP="001A7EC7">
    <w:pPr>
      <w:pStyle w:val="FooterEven"/>
    </w:pPr>
    <w:r w:rsidRPr="006E442F">
      <w:rPr>
        <w:b/>
      </w:rPr>
      <w:t xml:space="preserve">Page </w:t>
    </w:r>
    <w:r>
      <w:rPr>
        <w:b/>
        <w:bCs/>
        <w:noProof/>
      </w:rPr>
      <w:t>1</w:t>
    </w:r>
    <w:r w:rsidR="009748E8">
      <w:rPr>
        <w:b/>
        <w:bCs/>
        <w:noProof/>
      </w:rPr>
      <w:t>6</w:t>
    </w:r>
    <w:r>
      <w:rPr>
        <w:noProof/>
      </w:rPr>
      <w:t> </w:t>
    </w:r>
    <w:r>
      <w:rPr>
        <w:noProof/>
      </w:rPr>
      <w:t>|</w:t>
    </w:r>
    <w:r>
      <w:rPr>
        <w:noProof/>
      </w:rPr>
      <w:t> </w:t>
    </w:r>
    <w:r w:rsidR="00A155CD">
      <w:fldChar w:fldCharType="begin"/>
    </w:r>
    <w:r w:rsidR="00A155CD">
      <w:instrText xml:space="preserve"> STYLEREF  "Heading 1" </w:instrText>
    </w:r>
    <w:r w:rsidR="00A155CD">
      <w:fldChar w:fldCharType="separate"/>
    </w:r>
    <w:r w:rsidR="00A155CD">
      <w:rPr>
        <w:noProof/>
      </w:rPr>
      <w:t>Office of the Director of Public Prosecutions</w:t>
    </w:r>
    <w:r w:rsidR="00A155CD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67D8" w14:textId="617C2D22" w:rsidR="000F32EA" w:rsidRPr="00F33D2A" w:rsidRDefault="00A155CD" w:rsidP="00FC4C71">
    <w:pPr>
      <w:pStyle w:val="FooterOdd"/>
    </w:pPr>
    <w:r>
      <w:fldChar w:fldCharType="begin"/>
    </w:r>
    <w:r>
      <w:instrText>STYLEREF  "Heading 1"  \* MERGEFORMAT</w:instrText>
    </w:r>
    <w:r>
      <w:fldChar w:fldCharType="separate"/>
    </w:r>
    <w:r>
      <w:rPr>
        <w:noProof/>
      </w:rPr>
      <w:t>Office of the Director of Public Prosecutions</w:t>
    </w:r>
    <w:r>
      <w:rPr>
        <w:noProof/>
      </w:rPr>
      <w:fldChar w:fldCharType="end"/>
    </w:r>
    <w:r w:rsidR="000F32EA">
      <w:t> </w:t>
    </w:r>
    <w:r w:rsidR="000F32EA">
      <w:t>|</w:t>
    </w:r>
    <w:r w:rsidR="000F32EA">
      <w:t> </w:t>
    </w:r>
    <w:r w:rsidR="000F32EA" w:rsidRPr="00ED6CC1">
      <w:rPr>
        <w:b/>
        <w:bCs/>
      </w:rPr>
      <w:t xml:space="preserve">Page </w:t>
    </w:r>
    <w:r w:rsidR="000F32EA" w:rsidRPr="00ED6CC1">
      <w:rPr>
        <w:b/>
        <w:bCs/>
      </w:rPr>
      <w:fldChar w:fldCharType="begin"/>
    </w:r>
    <w:r w:rsidR="000F32EA" w:rsidRPr="00ED6CC1">
      <w:rPr>
        <w:b/>
        <w:bCs/>
      </w:rPr>
      <w:instrText xml:space="preserve"> PAGE   \* MERGEFORMAT </w:instrText>
    </w:r>
    <w:r w:rsidR="000F32EA" w:rsidRPr="00ED6CC1">
      <w:rPr>
        <w:b/>
        <w:bCs/>
      </w:rPr>
      <w:fldChar w:fldCharType="separate"/>
    </w:r>
    <w:r w:rsidR="000F32EA">
      <w:rPr>
        <w:b/>
        <w:bCs/>
      </w:rPr>
      <w:t>xiii</w:t>
    </w:r>
    <w:r w:rsidR="000F32EA" w:rsidRPr="00ED6CC1">
      <w:rPr>
        <w:b/>
        <w:bCs/>
        <w:noProof/>
      </w:rPr>
      <w:fldChar w:fldCharType="end"/>
    </w:r>
    <w:r w:rsidR="009748E8">
      <w:rPr>
        <w:b/>
        <w:bCs/>
        <w:noProof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DA9D" w14:textId="1BA878EE" w:rsidR="000F32EA" w:rsidRPr="006A6BE2" w:rsidRDefault="000F32EA" w:rsidP="006A6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18E9" w14:textId="77777777" w:rsidR="00DA7155" w:rsidRDefault="00DA7155" w:rsidP="00F51DAC">
      <w:pPr>
        <w:spacing w:after="0" w:line="240" w:lineRule="auto"/>
      </w:pPr>
      <w:r>
        <w:separator/>
      </w:r>
    </w:p>
  </w:footnote>
  <w:footnote w:type="continuationSeparator" w:id="0">
    <w:p w14:paraId="70BC94DC" w14:textId="77777777" w:rsidR="00DA7155" w:rsidRDefault="00DA7155" w:rsidP="00F51DAC">
      <w:pPr>
        <w:spacing w:after="0" w:line="240" w:lineRule="auto"/>
      </w:pPr>
      <w:r>
        <w:continuationSeparator/>
      </w:r>
    </w:p>
  </w:footnote>
  <w:footnote w:type="continuationNotice" w:id="1">
    <w:p w14:paraId="7328D490" w14:textId="77777777" w:rsidR="00DA7155" w:rsidRDefault="00DA7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797" w:type="dxa"/>
      <w:tblLook w:val="04A0" w:firstRow="1" w:lastRow="0" w:firstColumn="1" w:lastColumn="0" w:noHBand="0" w:noVBand="1"/>
    </w:tblPr>
    <w:tblGrid>
      <w:gridCol w:w="7797"/>
    </w:tblGrid>
    <w:tr w:rsidR="000F32EA" w14:paraId="668746F6" w14:textId="77777777" w:rsidTr="00D57909">
      <w:trPr>
        <w:trHeight w:hRule="exact" w:val="340"/>
      </w:trPr>
      <w:tc>
        <w:tcPr>
          <w:tcW w:w="7797" w:type="dxa"/>
          <w:shd w:val="clear" w:color="auto" w:fill="auto"/>
        </w:tcPr>
        <w:p w14:paraId="19BF9A18" w14:textId="40AEB3EE" w:rsidR="000F32EA" w:rsidRDefault="000F32EA" w:rsidP="00D57909">
          <w:pPr>
            <w:pStyle w:val="HeaderEven"/>
            <w:spacing w:after="240" w:line="260" w:lineRule="exact"/>
            <w:ind w:left="-113"/>
            <w:jc w:val="both"/>
          </w:pPr>
          <w:r>
            <w:rPr>
              <w:noProof/>
              <w:position w:val="-6"/>
            </w:rPr>
            <w:drawing>
              <wp:inline distT="0" distB="0" distL="0" distR="0" wp14:anchorId="773D42F7" wp14:editId="043EE762">
                <wp:extent cx="918000" cy="1548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> </w:t>
          </w:r>
          <w:r>
            <w:t>|</w:t>
          </w:r>
          <w:r>
            <w:t> </w:t>
          </w:r>
          <w:r>
            <w:fldChar w:fldCharType="begin"/>
          </w:r>
          <w:r>
            <w:instrText xml:space="preserve"> TITLE  </w:instrText>
          </w:r>
          <w:r>
            <w:fldChar w:fldCharType="end"/>
          </w:r>
        </w:p>
      </w:tc>
    </w:tr>
  </w:tbl>
  <w:p w14:paraId="6EBA26B4" w14:textId="77777777" w:rsidR="000F32EA" w:rsidRPr="001A7EC7" w:rsidRDefault="000F32EA" w:rsidP="001A7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797" w:type="dxa"/>
      <w:tblLook w:val="04A0" w:firstRow="1" w:lastRow="0" w:firstColumn="1" w:lastColumn="0" w:noHBand="0" w:noVBand="1"/>
    </w:tblPr>
    <w:tblGrid>
      <w:gridCol w:w="7797"/>
    </w:tblGrid>
    <w:tr w:rsidR="000F32EA" w14:paraId="558C6182" w14:textId="77777777" w:rsidTr="00D57909">
      <w:trPr>
        <w:trHeight w:hRule="exact" w:val="340"/>
      </w:trPr>
      <w:tc>
        <w:tcPr>
          <w:tcW w:w="7797" w:type="dxa"/>
          <w:shd w:val="clear" w:color="auto" w:fill="auto"/>
        </w:tcPr>
        <w:p w14:paraId="1C7F2A74" w14:textId="7D464143" w:rsidR="000F32EA" w:rsidRPr="000F712D" w:rsidRDefault="000F32EA" w:rsidP="00D57909">
          <w:pPr>
            <w:pStyle w:val="HeaderOdd"/>
            <w:spacing w:after="240" w:line="260" w:lineRule="exact"/>
          </w:pPr>
          <w:r>
            <w:fldChar w:fldCharType="begin"/>
          </w:r>
          <w:r>
            <w:instrText xml:space="preserve"> TITLE  </w:instrText>
          </w:r>
          <w:r>
            <w:fldChar w:fldCharType="end"/>
          </w:r>
          <w:r>
            <w:t> </w:t>
          </w:r>
          <w:r w:rsidRPr="000F712D">
            <w:t>|</w:t>
          </w:r>
          <w:r>
            <w:t> </w:t>
          </w:r>
          <w:r>
            <w:rPr>
              <w:noProof/>
              <w:position w:val="-6"/>
            </w:rPr>
            <w:drawing>
              <wp:inline distT="0" distB="0" distL="0" distR="0" wp14:anchorId="7C3F5292" wp14:editId="244F9F2E">
                <wp:extent cx="918000" cy="15480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858901" w14:textId="77777777" w:rsidR="000F32EA" w:rsidRPr="00390365" w:rsidRDefault="000F32EA" w:rsidP="00390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9A01" w14:textId="77777777" w:rsidR="000F32EA" w:rsidRPr="00484CB3" w:rsidRDefault="000F32EA" w:rsidP="00484C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797" w:type="dxa"/>
      <w:tblLook w:val="04A0" w:firstRow="1" w:lastRow="0" w:firstColumn="1" w:lastColumn="0" w:noHBand="0" w:noVBand="1"/>
    </w:tblPr>
    <w:tblGrid>
      <w:gridCol w:w="7797"/>
    </w:tblGrid>
    <w:tr w:rsidR="000F32EA" w14:paraId="7A6D314B" w14:textId="77777777" w:rsidTr="00D57909">
      <w:trPr>
        <w:trHeight w:hRule="exact" w:val="340"/>
      </w:trPr>
      <w:tc>
        <w:tcPr>
          <w:tcW w:w="7797" w:type="dxa"/>
          <w:shd w:val="clear" w:color="auto" w:fill="auto"/>
        </w:tcPr>
        <w:p w14:paraId="5BBCF0C2" w14:textId="55B05B80" w:rsidR="000F32EA" w:rsidRDefault="000F32EA" w:rsidP="00D57909">
          <w:pPr>
            <w:pStyle w:val="HeaderEven"/>
            <w:spacing w:after="240" w:line="260" w:lineRule="exact"/>
            <w:ind w:left="-113"/>
            <w:jc w:val="both"/>
          </w:pPr>
          <w:r>
            <w:rPr>
              <w:noProof/>
              <w:position w:val="-6"/>
            </w:rPr>
            <w:drawing>
              <wp:inline distT="0" distB="0" distL="0" distR="0" wp14:anchorId="7F77E067" wp14:editId="34E8C9C7">
                <wp:extent cx="918000" cy="1548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> </w:t>
          </w:r>
          <w:r>
            <w:t>|</w:t>
          </w:r>
          <w:r>
            <w:t> </w:t>
          </w:r>
          <w:r>
            <w:t xml:space="preserve">Portfolio Supplementary Additional Estimates Statements </w:t>
          </w:r>
          <w:r>
            <w:fldChar w:fldCharType="begin"/>
          </w:r>
          <w:r>
            <w:instrText xml:space="preserve"> TITLE  </w:instrText>
          </w:r>
          <w:r>
            <w:fldChar w:fldCharType="end"/>
          </w:r>
        </w:p>
      </w:tc>
    </w:tr>
  </w:tbl>
  <w:p w14:paraId="4A08FCE3" w14:textId="77777777" w:rsidR="000F32EA" w:rsidRPr="001A7EC7" w:rsidRDefault="000F32EA" w:rsidP="001A7EC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797" w:type="dxa"/>
      <w:tblLook w:val="04A0" w:firstRow="1" w:lastRow="0" w:firstColumn="1" w:lastColumn="0" w:noHBand="0" w:noVBand="1"/>
    </w:tblPr>
    <w:tblGrid>
      <w:gridCol w:w="7797"/>
    </w:tblGrid>
    <w:tr w:rsidR="000F32EA" w14:paraId="60E566ED" w14:textId="77777777" w:rsidTr="00D57909">
      <w:trPr>
        <w:trHeight w:hRule="exact" w:val="340"/>
      </w:trPr>
      <w:tc>
        <w:tcPr>
          <w:tcW w:w="7797" w:type="dxa"/>
          <w:shd w:val="clear" w:color="auto" w:fill="auto"/>
        </w:tcPr>
        <w:p w14:paraId="36AE89B3" w14:textId="1A33AC82" w:rsidR="000F32EA" w:rsidRPr="000F712D" w:rsidRDefault="000F32EA" w:rsidP="00D57909">
          <w:pPr>
            <w:pStyle w:val="HeaderOdd"/>
            <w:spacing w:after="240" w:line="260" w:lineRule="exact"/>
          </w:pPr>
          <w:r>
            <w:t>Portfolio Supplementary Additional Estimates Statements</w:t>
          </w:r>
          <w:r>
            <w:fldChar w:fldCharType="begin"/>
          </w:r>
          <w:r>
            <w:instrText xml:space="preserve"> TITLE  </w:instrText>
          </w:r>
          <w:r>
            <w:fldChar w:fldCharType="end"/>
          </w:r>
          <w:r>
            <w:t> </w:t>
          </w:r>
          <w:r w:rsidRPr="000F712D">
            <w:t>|</w:t>
          </w:r>
          <w:r>
            <w:t> </w:t>
          </w:r>
          <w:r>
            <w:rPr>
              <w:noProof/>
              <w:position w:val="-6"/>
            </w:rPr>
            <w:drawing>
              <wp:inline distT="0" distB="0" distL="0" distR="0" wp14:anchorId="6191A298" wp14:editId="2B17901D">
                <wp:extent cx="918000" cy="1548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AA7633" w14:textId="77777777" w:rsidR="000F32EA" w:rsidRPr="00390365" w:rsidRDefault="000F32EA" w:rsidP="0039036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3F31" w14:textId="77777777" w:rsidR="000F32EA" w:rsidRPr="00484CB3" w:rsidRDefault="000F32EA" w:rsidP="00484CB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41F0" w14:textId="77777777" w:rsidR="000F32EA" w:rsidRPr="00484CB3" w:rsidRDefault="000F32EA" w:rsidP="00484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2" w15:restartNumberingAfterBreak="0">
    <w:nsid w:val="1D185843"/>
    <w:multiLevelType w:val="multilevel"/>
    <w:tmpl w:val="ACEC6220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D02E4E"/>
    <w:multiLevelType w:val="hybridMultilevel"/>
    <w:tmpl w:val="0526C918"/>
    <w:lvl w:ilvl="0" w:tplc="4A340E24">
      <w:start w:val="1"/>
      <w:numFmt w:val="bullet"/>
      <w:pStyle w:val="ChartandTableFootnoteAlpha-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896D8E"/>
    <w:multiLevelType w:val="multilevel"/>
    <w:tmpl w:val="42504744"/>
    <w:lvl w:ilvl="0">
      <w:start w:val="1"/>
      <w:numFmt w:val="lowerLetter"/>
      <w:lvlText w:val="(%1)"/>
      <w:lvlJc w:val="left"/>
      <w:pPr>
        <w:ind w:left="284" w:hanging="284"/>
      </w:pPr>
      <w:rPr>
        <w:rFonts w:ascii="Arial" w:hAnsi="Arial" w:cs="Arial"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EA4481"/>
    <w:multiLevelType w:val="multilevel"/>
    <w:tmpl w:val="0DFE1A6A"/>
    <w:name w:val="TableTextBullet"/>
    <w:lvl w:ilvl="0">
      <w:start w:val="1"/>
      <w:numFmt w:val="bullet"/>
      <w:lvlRestart w:val="0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b w:val="0"/>
        <w:i w:val="0"/>
        <w:color w:val="000000"/>
      </w:rPr>
    </w:lvl>
    <w:lvl w:ilvl="1">
      <w:start w:val="1"/>
      <w:numFmt w:val="bullet"/>
      <w:pStyle w:val="TableTextDash"/>
      <w:lvlText w:val="–"/>
      <w:lvlJc w:val="left"/>
      <w:pPr>
        <w:tabs>
          <w:tab w:val="num" w:pos="851"/>
        </w:tabs>
        <w:ind w:left="851" w:hanging="284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6" w15:restartNumberingAfterBreak="0">
    <w:nsid w:val="316C2C4D"/>
    <w:multiLevelType w:val="multilevel"/>
    <w:tmpl w:val="53041CAE"/>
    <w:name w:val="StandardBulletedList"/>
    <w:lvl w:ilvl="0">
      <w:start w:val="1"/>
      <w:numFmt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8" w15:restartNumberingAfterBreak="0">
    <w:nsid w:val="58101827"/>
    <w:multiLevelType w:val="multilevel"/>
    <w:tmpl w:val="072C6E5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num w:numId="1" w16cid:durableId="122042643">
    <w:abstractNumId w:val="7"/>
  </w:num>
  <w:num w:numId="2" w16cid:durableId="888876602">
    <w:abstractNumId w:val="1"/>
  </w:num>
  <w:num w:numId="3" w16cid:durableId="684329586">
    <w:abstractNumId w:val="8"/>
  </w:num>
  <w:num w:numId="4" w16cid:durableId="529294842">
    <w:abstractNumId w:val="3"/>
  </w:num>
  <w:num w:numId="5" w16cid:durableId="1032997249">
    <w:abstractNumId w:val="0"/>
  </w:num>
  <w:num w:numId="6" w16cid:durableId="665979511">
    <w:abstractNumId w:val="5"/>
  </w:num>
  <w:num w:numId="7" w16cid:durableId="1908686656">
    <w:abstractNumId w:val="2"/>
  </w:num>
  <w:num w:numId="8" w16cid:durableId="226381636">
    <w:abstractNumId w:val="4"/>
  </w:num>
  <w:num w:numId="9" w16cid:durableId="28072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084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00"/>
    <w:rsid w:val="000032D9"/>
    <w:rsid w:val="00005825"/>
    <w:rsid w:val="00006BE0"/>
    <w:rsid w:val="00011037"/>
    <w:rsid w:val="000136BB"/>
    <w:rsid w:val="00014563"/>
    <w:rsid w:val="00023988"/>
    <w:rsid w:val="000275B6"/>
    <w:rsid w:val="0003054F"/>
    <w:rsid w:val="000318CE"/>
    <w:rsid w:val="0003250E"/>
    <w:rsid w:val="00033660"/>
    <w:rsid w:val="000351D1"/>
    <w:rsid w:val="00035B3B"/>
    <w:rsid w:val="00042A35"/>
    <w:rsid w:val="00045AD1"/>
    <w:rsid w:val="00045FE9"/>
    <w:rsid w:val="000508A8"/>
    <w:rsid w:val="0005309B"/>
    <w:rsid w:val="000608ED"/>
    <w:rsid w:val="000613D5"/>
    <w:rsid w:val="00065897"/>
    <w:rsid w:val="000663E4"/>
    <w:rsid w:val="0007006A"/>
    <w:rsid w:val="0007032D"/>
    <w:rsid w:val="000729FF"/>
    <w:rsid w:val="00072E56"/>
    <w:rsid w:val="0007721A"/>
    <w:rsid w:val="0008084B"/>
    <w:rsid w:val="00081FBD"/>
    <w:rsid w:val="0008572A"/>
    <w:rsid w:val="00090D90"/>
    <w:rsid w:val="00092221"/>
    <w:rsid w:val="000A0136"/>
    <w:rsid w:val="000A03CD"/>
    <w:rsid w:val="000A10EF"/>
    <w:rsid w:val="000A164A"/>
    <w:rsid w:val="000A1CE0"/>
    <w:rsid w:val="000B11D9"/>
    <w:rsid w:val="000B1403"/>
    <w:rsid w:val="000B5844"/>
    <w:rsid w:val="000B6964"/>
    <w:rsid w:val="000C0079"/>
    <w:rsid w:val="000C0433"/>
    <w:rsid w:val="000C6C2D"/>
    <w:rsid w:val="000D14BB"/>
    <w:rsid w:val="000D7280"/>
    <w:rsid w:val="000E2FF2"/>
    <w:rsid w:val="000E7532"/>
    <w:rsid w:val="000F0C8E"/>
    <w:rsid w:val="000F1713"/>
    <w:rsid w:val="000F1842"/>
    <w:rsid w:val="000F1E3B"/>
    <w:rsid w:val="000F32EA"/>
    <w:rsid w:val="000F615A"/>
    <w:rsid w:val="00101923"/>
    <w:rsid w:val="001048FB"/>
    <w:rsid w:val="00107974"/>
    <w:rsid w:val="00111789"/>
    <w:rsid w:val="001118EA"/>
    <w:rsid w:val="001130AC"/>
    <w:rsid w:val="00116A54"/>
    <w:rsid w:val="00117D52"/>
    <w:rsid w:val="00122258"/>
    <w:rsid w:val="00126251"/>
    <w:rsid w:val="001268F7"/>
    <w:rsid w:val="00130ED3"/>
    <w:rsid w:val="00133E2E"/>
    <w:rsid w:val="00144D8E"/>
    <w:rsid w:val="0014708C"/>
    <w:rsid w:val="00150B54"/>
    <w:rsid w:val="00153750"/>
    <w:rsid w:val="00153978"/>
    <w:rsid w:val="00154892"/>
    <w:rsid w:val="00156F20"/>
    <w:rsid w:val="001572F0"/>
    <w:rsid w:val="00163465"/>
    <w:rsid w:val="0016377A"/>
    <w:rsid w:val="00172064"/>
    <w:rsid w:val="00180710"/>
    <w:rsid w:val="00182555"/>
    <w:rsid w:val="00186D28"/>
    <w:rsid w:val="00187151"/>
    <w:rsid w:val="00195563"/>
    <w:rsid w:val="00195D4E"/>
    <w:rsid w:val="00197A5E"/>
    <w:rsid w:val="001A6A93"/>
    <w:rsid w:val="001A7EC7"/>
    <w:rsid w:val="001B0283"/>
    <w:rsid w:val="001B0815"/>
    <w:rsid w:val="001B1E37"/>
    <w:rsid w:val="001B1F55"/>
    <w:rsid w:val="001C0865"/>
    <w:rsid w:val="001C4D3B"/>
    <w:rsid w:val="001C4E82"/>
    <w:rsid w:val="001C534C"/>
    <w:rsid w:val="001C570B"/>
    <w:rsid w:val="001C6EA7"/>
    <w:rsid w:val="001C7715"/>
    <w:rsid w:val="001D4BC4"/>
    <w:rsid w:val="001D728B"/>
    <w:rsid w:val="001D7D5A"/>
    <w:rsid w:val="001E0283"/>
    <w:rsid w:val="001E11F2"/>
    <w:rsid w:val="001E1B2D"/>
    <w:rsid w:val="001E2260"/>
    <w:rsid w:val="001F408C"/>
    <w:rsid w:val="001F4517"/>
    <w:rsid w:val="00200D94"/>
    <w:rsid w:val="00205725"/>
    <w:rsid w:val="00205D0D"/>
    <w:rsid w:val="00210C9B"/>
    <w:rsid w:val="00222C81"/>
    <w:rsid w:val="0022327D"/>
    <w:rsid w:val="00224654"/>
    <w:rsid w:val="00226F42"/>
    <w:rsid w:val="00230083"/>
    <w:rsid w:val="00230E23"/>
    <w:rsid w:val="00233AE8"/>
    <w:rsid w:val="00234D2E"/>
    <w:rsid w:val="002354AC"/>
    <w:rsid w:val="002419C2"/>
    <w:rsid w:val="0024247A"/>
    <w:rsid w:val="00244E40"/>
    <w:rsid w:val="002525BE"/>
    <w:rsid w:val="00252DC2"/>
    <w:rsid w:val="0025312E"/>
    <w:rsid w:val="00254300"/>
    <w:rsid w:val="002636B9"/>
    <w:rsid w:val="00264541"/>
    <w:rsid w:val="00267011"/>
    <w:rsid w:val="00271D4B"/>
    <w:rsid w:val="00274EB3"/>
    <w:rsid w:val="0027743F"/>
    <w:rsid w:val="00282E06"/>
    <w:rsid w:val="00292F86"/>
    <w:rsid w:val="002938F0"/>
    <w:rsid w:val="00294765"/>
    <w:rsid w:val="00294BCA"/>
    <w:rsid w:val="00296C9A"/>
    <w:rsid w:val="00297B71"/>
    <w:rsid w:val="002A1FA1"/>
    <w:rsid w:val="002B20B2"/>
    <w:rsid w:val="002B2275"/>
    <w:rsid w:val="002B3AF5"/>
    <w:rsid w:val="002B7234"/>
    <w:rsid w:val="002C4033"/>
    <w:rsid w:val="002C48C5"/>
    <w:rsid w:val="002C7D2C"/>
    <w:rsid w:val="002D098C"/>
    <w:rsid w:val="002D0CA6"/>
    <w:rsid w:val="002D1CF8"/>
    <w:rsid w:val="002D2195"/>
    <w:rsid w:val="002D3414"/>
    <w:rsid w:val="002D3D3A"/>
    <w:rsid w:val="002E5E71"/>
    <w:rsid w:val="002E6512"/>
    <w:rsid w:val="002E7414"/>
    <w:rsid w:val="002E74E7"/>
    <w:rsid w:val="002F0DFB"/>
    <w:rsid w:val="002F7877"/>
    <w:rsid w:val="00302FA9"/>
    <w:rsid w:val="00306FF4"/>
    <w:rsid w:val="00312A34"/>
    <w:rsid w:val="00322E09"/>
    <w:rsid w:val="003236DE"/>
    <w:rsid w:val="0032414B"/>
    <w:rsid w:val="00326AA2"/>
    <w:rsid w:val="003270F6"/>
    <w:rsid w:val="00334E99"/>
    <w:rsid w:val="00337069"/>
    <w:rsid w:val="00337118"/>
    <w:rsid w:val="00341419"/>
    <w:rsid w:val="003415CF"/>
    <w:rsid w:val="00342A6F"/>
    <w:rsid w:val="0034347C"/>
    <w:rsid w:val="00345F9C"/>
    <w:rsid w:val="00350671"/>
    <w:rsid w:val="00351A20"/>
    <w:rsid w:val="003553EB"/>
    <w:rsid w:val="0035693E"/>
    <w:rsid w:val="003606A0"/>
    <w:rsid w:val="0036637F"/>
    <w:rsid w:val="00374BAB"/>
    <w:rsid w:val="00374C3A"/>
    <w:rsid w:val="003827D8"/>
    <w:rsid w:val="003829CC"/>
    <w:rsid w:val="00384A2D"/>
    <w:rsid w:val="00390365"/>
    <w:rsid w:val="0039044E"/>
    <w:rsid w:val="0039171B"/>
    <w:rsid w:val="003922D6"/>
    <w:rsid w:val="00394EF4"/>
    <w:rsid w:val="00395A33"/>
    <w:rsid w:val="00395BC6"/>
    <w:rsid w:val="003A180D"/>
    <w:rsid w:val="003A3C40"/>
    <w:rsid w:val="003A6E11"/>
    <w:rsid w:val="003B2073"/>
    <w:rsid w:val="003C0F6D"/>
    <w:rsid w:val="003C255D"/>
    <w:rsid w:val="003C5C6A"/>
    <w:rsid w:val="003C5FDE"/>
    <w:rsid w:val="003D36A0"/>
    <w:rsid w:val="003D436A"/>
    <w:rsid w:val="003D64C9"/>
    <w:rsid w:val="003E02EA"/>
    <w:rsid w:val="003E0BFA"/>
    <w:rsid w:val="003E6480"/>
    <w:rsid w:val="003F191C"/>
    <w:rsid w:val="003F33CC"/>
    <w:rsid w:val="003F3E69"/>
    <w:rsid w:val="003F48E0"/>
    <w:rsid w:val="003F7560"/>
    <w:rsid w:val="00401D29"/>
    <w:rsid w:val="0040646E"/>
    <w:rsid w:val="004130FC"/>
    <w:rsid w:val="00414081"/>
    <w:rsid w:val="004201DA"/>
    <w:rsid w:val="004242E7"/>
    <w:rsid w:val="00424E7C"/>
    <w:rsid w:val="004278B3"/>
    <w:rsid w:val="004320E4"/>
    <w:rsid w:val="0043355F"/>
    <w:rsid w:val="00435111"/>
    <w:rsid w:val="004376F7"/>
    <w:rsid w:val="004432F5"/>
    <w:rsid w:val="0044460C"/>
    <w:rsid w:val="00444714"/>
    <w:rsid w:val="004455D3"/>
    <w:rsid w:val="00455407"/>
    <w:rsid w:val="004629F7"/>
    <w:rsid w:val="0047332B"/>
    <w:rsid w:val="00474C07"/>
    <w:rsid w:val="00474E36"/>
    <w:rsid w:val="00484CB3"/>
    <w:rsid w:val="004878DC"/>
    <w:rsid w:val="00492E77"/>
    <w:rsid w:val="004937EE"/>
    <w:rsid w:val="00495F72"/>
    <w:rsid w:val="004A4958"/>
    <w:rsid w:val="004A5D4C"/>
    <w:rsid w:val="004A5FCC"/>
    <w:rsid w:val="004B0858"/>
    <w:rsid w:val="004B1C06"/>
    <w:rsid w:val="004B279D"/>
    <w:rsid w:val="004B31C5"/>
    <w:rsid w:val="004B5BB8"/>
    <w:rsid w:val="004C04CB"/>
    <w:rsid w:val="004C4C3E"/>
    <w:rsid w:val="004D2FE3"/>
    <w:rsid w:val="004D4DD4"/>
    <w:rsid w:val="004D5B00"/>
    <w:rsid w:val="004D70FE"/>
    <w:rsid w:val="004D710C"/>
    <w:rsid w:val="004E00DF"/>
    <w:rsid w:val="004E19BA"/>
    <w:rsid w:val="004E2230"/>
    <w:rsid w:val="004E7B9B"/>
    <w:rsid w:val="004F10A0"/>
    <w:rsid w:val="004F14E4"/>
    <w:rsid w:val="004F155F"/>
    <w:rsid w:val="004F6E11"/>
    <w:rsid w:val="005042C7"/>
    <w:rsid w:val="005050D7"/>
    <w:rsid w:val="00507AC4"/>
    <w:rsid w:val="00510772"/>
    <w:rsid w:val="005126FD"/>
    <w:rsid w:val="005151B0"/>
    <w:rsid w:val="00517B0E"/>
    <w:rsid w:val="00520898"/>
    <w:rsid w:val="0052122F"/>
    <w:rsid w:val="00525EFE"/>
    <w:rsid w:val="005313C2"/>
    <w:rsid w:val="00536B94"/>
    <w:rsid w:val="00536F78"/>
    <w:rsid w:val="00537372"/>
    <w:rsid w:val="0054368A"/>
    <w:rsid w:val="00547951"/>
    <w:rsid w:val="00552B73"/>
    <w:rsid w:val="00557667"/>
    <w:rsid w:val="00565E1D"/>
    <w:rsid w:val="0056681A"/>
    <w:rsid w:val="00566E54"/>
    <w:rsid w:val="0057531F"/>
    <w:rsid w:val="00575FE1"/>
    <w:rsid w:val="00576269"/>
    <w:rsid w:val="00577339"/>
    <w:rsid w:val="005817D0"/>
    <w:rsid w:val="005835EC"/>
    <w:rsid w:val="005866E1"/>
    <w:rsid w:val="00590246"/>
    <w:rsid w:val="00590DD7"/>
    <w:rsid w:val="00593B0B"/>
    <w:rsid w:val="005A1E02"/>
    <w:rsid w:val="005A64D2"/>
    <w:rsid w:val="005A69B2"/>
    <w:rsid w:val="005A7F70"/>
    <w:rsid w:val="005B2FBA"/>
    <w:rsid w:val="005B3016"/>
    <w:rsid w:val="005B3AE2"/>
    <w:rsid w:val="005B3EA0"/>
    <w:rsid w:val="005C0520"/>
    <w:rsid w:val="005C22B9"/>
    <w:rsid w:val="005C4E89"/>
    <w:rsid w:val="005D586A"/>
    <w:rsid w:val="005D72DF"/>
    <w:rsid w:val="005E0128"/>
    <w:rsid w:val="005E1036"/>
    <w:rsid w:val="005E192A"/>
    <w:rsid w:val="005E4378"/>
    <w:rsid w:val="005E4694"/>
    <w:rsid w:val="005E5A5B"/>
    <w:rsid w:val="005F22A1"/>
    <w:rsid w:val="005F384B"/>
    <w:rsid w:val="005F3DC1"/>
    <w:rsid w:val="005F40EE"/>
    <w:rsid w:val="005F5A6C"/>
    <w:rsid w:val="005F6330"/>
    <w:rsid w:val="00600967"/>
    <w:rsid w:val="00601E71"/>
    <w:rsid w:val="00605A32"/>
    <w:rsid w:val="00606D16"/>
    <w:rsid w:val="00607CCB"/>
    <w:rsid w:val="006118F8"/>
    <w:rsid w:val="0061382F"/>
    <w:rsid w:val="006206DD"/>
    <w:rsid w:val="0062220B"/>
    <w:rsid w:val="00622325"/>
    <w:rsid w:val="00623807"/>
    <w:rsid w:val="00624561"/>
    <w:rsid w:val="00624C4B"/>
    <w:rsid w:val="00625DBE"/>
    <w:rsid w:val="00626AFD"/>
    <w:rsid w:val="006277BB"/>
    <w:rsid w:val="00627E40"/>
    <w:rsid w:val="00630950"/>
    <w:rsid w:val="00631368"/>
    <w:rsid w:val="00632453"/>
    <w:rsid w:val="00633056"/>
    <w:rsid w:val="006443D2"/>
    <w:rsid w:val="0064534F"/>
    <w:rsid w:val="0065064F"/>
    <w:rsid w:val="006560BD"/>
    <w:rsid w:val="006563A5"/>
    <w:rsid w:val="0065680F"/>
    <w:rsid w:val="0065724F"/>
    <w:rsid w:val="00657664"/>
    <w:rsid w:val="006619C5"/>
    <w:rsid w:val="006637CB"/>
    <w:rsid w:val="00665000"/>
    <w:rsid w:val="006709FD"/>
    <w:rsid w:val="00671E37"/>
    <w:rsid w:val="00673E39"/>
    <w:rsid w:val="00674FF1"/>
    <w:rsid w:val="00676381"/>
    <w:rsid w:val="006763BA"/>
    <w:rsid w:val="00676B01"/>
    <w:rsid w:val="00677E9C"/>
    <w:rsid w:val="00680918"/>
    <w:rsid w:val="00682961"/>
    <w:rsid w:val="00686E4E"/>
    <w:rsid w:val="00687F52"/>
    <w:rsid w:val="006920C2"/>
    <w:rsid w:val="006A5416"/>
    <w:rsid w:val="006A6BE2"/>
    <w:rsid w:val="006A7788"/>
    <w:rsid w:val="006B3AC7"/>
    <w:rsid w:val="006C3FF1"/>
    <w:rsid w:val="006C4FA0"/>
    <w:rsid w:val="006D2685"/>
    <w:rsid w:val="006D602B"/>
    <w:rsid w:val="006D740A"/>
    <w:rsid w:val="006E0497"/>
    <w:rsid w:val="006E16F2"/>
    <w:rsid w:val="006E4EAB"/>
    <w:rsid w:val="006E5F7E"/>
    <w:rsid w:val="006E7940"/>
    <w:rsid w:val="006F259A"/>
    <w:rsid w:val="006F3BB7"/>
    <w:rsid w:val="006F46CA"/>
    <w:rsid w:val="00706F49"/>
    <w:rsid w:val="00707BE6"/>
    <w:rsid w:val="0071086F"/>
    <w:rsid w:val="00710DA2"/>
    <w:rsid w:val="00720C4E"/>
    <w:rsid w:val="00724AAC"/>
    <w:rsid w:val="0072591E"/>
    <w:rsid w:val="00733403"/>
    <w:rsid w:val="00735136"/>
    <w:rsid w:val="0074217E"/>
    <w:rsid w:val="00742EE8"/>
    <w:rsid w:val="0074316D"/>
    <w:rsid w:val="00744E1A"/>
    <w:rsid w:val="007472BF"/>
    <w:rsid w:val="00747FBE"/>
    <w:rsid w:val="00751195"/>
    <w:rsid w:val="007515FA"/>
    <w:rsid w:val="00753D1C"/>
    <w:rsid w:val="00754CFA"/>
    <w:rsid w:val="0076188E"/>
    <w:rsid w:val="00767CEE"/>
    <w:rsid w:val="00771830"/>
    <w:rsid w:val="0077284E"/>
    <w:rsid w:val="00781798"/>
    <w:rsid w:val="007820FB"/>
    <w:rsid w:val="00782F57"/>
    <w:rsid w:val="007A0793"/>
    <w:rsid w:val="007A0FD2"/>
    <w:rsid w:val="007A3C38"/>
    <w:rsid w:val="007A47F1"/>
    <w:rsid w:val="007B038B"/>
    <w:rsid w:val="007B1DF7"/>
    <w:rsid w:val="007B2BBB"/>
    <w:rsid w:val="007B4A18"/>
    <w:rsid w:val="007C0552"/>
    <w:rsid w:val="007C3301"/>
    <w:rsid w:val="007C3C7E"/>
    <w:rsid w:val="007C699D"/>
    <w:rsid w:val="007D1649"/>
    <w:rsid w:val="007D3DB1"/>
    <w:rsid w:val="007D4598"/>
    <w:rsid w:val="007D6EBF"/>
    <w:rsid w:val="007D7FB7"/>
    <w:rsid w:val="007E214E"/>
    <w:rsid w:val="007E22E8"/>
    <w:rsid w:val="007E3929"/>
    <w:rsid w:val="007E6D70"/>
    <w:rsid w:val="007F0EEF"/>
    <w:rsid w:val="00800CFE"/>
    <w:rsid w:val="00803FFF"/>
    <w:rsid w:val="0080509C"/>
    <w:rsid w:val="00805AE8"/>
    <w:rsid w:val="00807C17"/>
    <w:rsid w:val="00810862"/>
    <w:rsid w:val="00815915"/>
    <w:rsid w:val="00815F9B"/>
    <w:rsid w:val="00821089"/>
    <w:rsid w:val="00823671"/>
    <w:rsid w:val="0082498B"/>
    <w:rsid w:val="00827287"/>
    <w:rsid w:val="008308BA"/>
    <w:rsid w:val="008317AD"/>
    <w:rsid w:val="00835DDC"/>
    <w:rsid w:val="008431AB"/>
    <w:rsid w:val="008444E8"/>
    <w:rsid w:val="00845368"/>
    <w:rsid w:val="008464AE"/>
    <w:rsid w:val="00846923"/>
    <w:rsid w:val="0085098A"/>
    <w:rsid w:val="008513FD"/>
    <w:rsid w:val="00851875"/>
    <w:rsid w:val="00857FF3"/>
    <w:rsid w:val="0086263D"/>
    <w:rsid w:val="00863373"/>
    <w:rsid w:val="008643FE"/>
    <w:rsid w:val="00866C72"/>
    <w:rsid w:val="00866EBD"/>
    <w:rsid w:val="008718CC"/>
    <w:rsid w:val="0087439B"/>
    <w:rsid w:val="0088060A"/>
    <w:rsid w:val="00881130"/>
    <w:rsid w:val="00881D5B"/>
    <w:rsid w:val="00882915"/>
    <w:rsid w:val="0088479B"/>
    <w:rsid w:val="008849E4"/>
    <w:rsid w:val="0088582E"/>
    <w:rsid w:val="00892D63"/>
    <w:rsid w:val="00893283"/>
    <w:rsid w:val="008A740C"/>
    <w:rsid w:val="008B238C"/>
    <w:rsid w:val="008B4EE7"/>
    <w:rsid w:val="008B6455"/>
    <w:rsid w:val="008C1571"/>
    <w:rsid w:val="008C39FE"/>
    <w:rsid w:val="008C4A9A"/>
    <w:rsid w:val="008C521E"/>
    <w:rsid w:val="008C7A54"/>
    <w:rsid w:val="008D54E8"/>
    <w:rsid w:val="008D771A"/>
    <w:rsid w:val="008E2FC7"/>
    <w:rsid w:val="008E724B"/>
    <w:rsid w:val="008E799A"/>
    <w:rsid w:val="008F11E6"/>
    <w:rsid w:val="008F4D70"/>
    <w:rsid w:val="00900674"/>
    <w:rsid w:val="00904122"/>
    <w:rsid w:val="0090678E"/>
    <w:rsid w:val="009125B1"/>
    <w:rsid w:val="009131F9"/>
    <w:rsid w:val="009143B4"/>
    <w:rsid w:val="009168A1"/>
    <w:rsid w:val="009208D1"/>
    <w:rsid w:val="009223F8"/>
    <w:rsid w:val="00922B4D"/>
    <w:rsid w:val="009235FE"/>
    <w:rsid w:val="00926677"/>
    <w:rsid w:val="00931128"/>
    <w:rsid w:val="00932042"/>
    <w:rsid w:val="009419A5"/>
    <w:rsid w:val="00942439"/>
    <w:rsid w:val="0094347A"/>
    <w:rsid w:val="0095378E"/>
    <w:rsid w:val="0095412D"/>
    <w:rsid w:val="00960353"/>
    <w:rsid w:val="00966B3E"/>
    <w:rsid w:val="0096764F"/>
    <w:rsid w:val="00974603"/>
    <w:rsid w:val="009748E8"/>
    <w:rsid w:val="00974E9A"/>
    <w:rsid w:val="009758F8"/>
    <w:rsid w:val="00980B2C"/>
    <w:rsid w:val="009865EE"/>
    <w:rsid w:val="009878C6"/>
    <w:rsid w:val="00992DB9"/>
    <w:rsid w:val="00994F47"/>
    <w:rsid w:val="00996AB4"/>
    <w:rsid w:val="009A7941"/>
    <w:rsid w:val="009D0A22"/>
    <w:rsid w:val="009D1247"/>
    <w:rsid w:val="009D1380"/>
    <w:rsid w:val="009D31AD"/>
    <w:rsid w:val="009E2D5F"/>
    <w:rsid w:val="009E6607"/>
    <w:rsid w:val="009F1F55"/>
    <w:rsid w:val="009F40F3"/>
    <w:rsid w:val="009F4AAB"/>
    <w:rsid w:val="009F7645"/>
    <w:rsid w:val="009F76B8"/>
    <w:rsid w:val="00A000D9"/>
    <w:rsid w:val="00A03840"/>
    <w:rsid w:val="00A0484F"/>
    <w:rsid w:val="00A110CB"/>
    <w:rsid w:val="00A155CD"/>
    <w:rsid w:val="00A1665B"/>
    <w:rsid w:val="00A16EBD"/>
    <w:rsid w:val="00A23A02"/>
    <w:rsid w:val="00A2629C"/>
    <w:rsid w:val="00A32D7C"/>
    <w:rsid w:val="00A33BBA"/>
    <w:rsid w:val="00A400AD"/>
    <w:rsid w:val="00A40956"/>
    <w:rsid w:val="00A40EBD"/>
    <w:rsid w:val="00A43A55"/>
    <w:rsid w:val="00A46DDB"/>
    <w:rsid w:val="00A53555"/>
    <w:rsid w:val="00A541F6"/>
    <w:rsid w:val="00A57726"/>
    <w:rsid w:val="00A57BC2"/>
    <w:rsid w:val="00A62737"/>
    <w:rsid w:val="00A64B15"/>
    <w:rsid w:val="00A704D1"/>
    <w:rsid w:val="00A711CB"/>
    <w:rsid w:val="00A71226"/>
    <w:rsid w:val="00A7187A"/>
    <w:rsid w:val="00A71B28"/>
    <w:rsid w:val="00A77B9D"/>
    <w:rsid w:val="00A80644"/>
    <w:rsid w:val="00A83414"/>
    <w:rsid w:val="00A83E3F"/>
    <w:rsid w:val="00A8676C"/>
    <w:rsid w:val="00A9394D"/>
    <w:rsid w:val="00A943EB"/>
    <w:rsid w:val="00AA09EE"/>
    <w:rsid w:val="00AA4567"/>
    <w:rsid w:val="00AA48AE"/>
    <w:rsid w:val="00AA5656"/>
    <w:rsid w:val="00AB3EB2"/>
    <w:rsid w:val="00AB685D"/>
    <w:rsid w:val="00AB7DEA"/>
    <w:rsid w:val="00AC3863"/>
    <w:rsid w:val="00AC4180"/>
    <w:rsid w:val="00AC57E5"/>
    <w:rsid w:val="00AC77C0"/>
    <w:rsid w:val="00AD1826"/>
    <w:rsid w:val="00AD2EFF"/>
    <w:rsid w:val="00AD3F1A"/>
    <w:rsid w:val="00AD4A53"/>
    <w:rsid w:val="00AD6943"/>
    <w:rsid w:val="00AE0544"/>
    <w:rsid w:val="00AE443C"/>
    <w:rsid w:val="00AE4B20"/>
    <w:rsid w:val="00AE55C6"/>
    <w:rsid w:val="00AE57C9"/>
    <w:rsid w:val="00AF049F"/>
    <w:rsid w:val="00AF0F16"/>
    <w:rsid w:val="00AF29AD"/>
    <w:rsid w:val="00B02C6F"/>
    <w:rsid w:val="00B06FD9"/>
    <w:rsid w:val="00B13C6E"/>
    <w:rsid w:val="00B16240"/>
    <w:rsid w:val="00B21677"/>
    <w:rsid w:val="00B249DE"/>
    <w:rsid w:val="00B25351"/>
    <w:rsid w:val="00B277C2"/>
    <w:rsid w:val="00B31E5A"/>
    <w:rsid w:val="00B36320"/>
    <w:rsid w:val="00B42467"/>
    <w:rsid w:val="00B471C4"/>
    <w:rsid w:val="00B47B23"/>
    <w:rsid w:val="00B50A80"/>
    <w:rsid w:val="00B55E67"/>
    <w:rsid w:val="00B6011F"/>
    <w:rsid w:val="00B60759"/>
    <w:rsid w:val="00B613EB"/>
    <w:rsid w:val="00B647AB"/>
    <w:rsid w:val="00B72B38"/>
    <w:rsid w:val="00B80993"/>
    <w:rsid w:val="00B84032"/>
    <w:rsid w:val="00B908BF"/>
    <w:rsid w:val="00BB0B86"/>
    <w:rsid w:val="00BB0D21"/>
    <w:rsid w:val="00BC3AB7"/>
    <w:rsid w:val="00BC3F8B"/>
    <w:rsid w:val="00BD1951"/>
    <w:rsid w:val="00BD2EE2"/>
    <w:rsid w:val="00BD2F34"/>
    <w:rsid w:val="00BD42F1"/>
    <w:rsid w:val="00BD7D84"/>
    <w:rsid w:val="00BE0283"/>
    <w:rsid w:val="00BE17E5"/>
    <w:rsid w:val="00BE4B8C"/>
    <w:rsid w:val="00BE551E"/>
    <w:rsid w:val="00BE6D9D"/>
    <w:rsid w:val="00BE73CE"/>
    <w:rsid w:val="00BF09DD"/>
    <w:rsid w:val="00BF0FE1"/>
    <w:rsid w:val="00BF253A"/>
    <w:rsid w:val="00BF5E8A"/>
    <w:rsid w:val="00C0306E"/>
    <w:rsid w:val="00C068BD"/>
    <w:rsid w:val="00C11326"/>
    <w:rsid w:val="00C12CE2"/>
    <w:rsid w:val="00C16324"/>
    <w:rsid w:val="00C16590"/>
    <w:rsid w:val="00C200D3"/>
    <w:rsid w:val="00C2155E"/>
    <w:rsid w:val="00C228BA"/>
    <w:rsid w:val="00C22EF2"/>
    <w:rsid w:val="00C23315"/>
    <w:rsid w:val="00C24F05"/>
    <w:rsid w:val="00C25F6F"/>
    <w:rsid w:val="00C268EB"/>
    <w:rsid w:val="00C32016"/>
    <w:rsid w:val="00C334DC"/>
    <w:rsid w:val="00C33583"/>
    <w:rsid w:val="00C35F22"/>
    <w:rsid w:val="00C3681B"/>
    <w:rsid w:val="00C407A2"/>
    <w:rsid w:val="00C40EBE"/>
    <w:rsid w:val="00C4272C"/>
    <w:rsid w:val="00C42B88"/>
    <w:rsid w:val="00C4390F"/>
    <w:rsid w:val="00C45975"/>
    <w:rsid w:val="00C47576"/>
    <w:rsid w:val="00C52431"/>
    <w:rsid w:val="00C5377D"/>
    <w:rsid w:val="00C56835"/>
    <w:rsid w:val="00C60344"/>
    <w:rsid w:val="00C64142"/>
    <w:rsid w:val="00C676A4"/>
    <w:rsid w:val="00C67751"/>
    <w:rsid w:val="00C722F2"/>
    <w:rsid w:val="00C72463"/>
    <w:rsid w:val="00C77AD6"/>
    <w:rsid w:val="00C86C73"/>
    <w:rsid w:val="00C872C0"/>
    <w:rsid w:val="00C9166B"/>
    <w:rsid w:val="00C95AA7"/>
    <w:rsid w:val="00C96EC7"/>
    <w:rsid w:val="00C97848"/>
    <w:rsid w:val="00CA2C5F"/>
    <w:rsid w:val="00CA324E"/>
    <w:rsid w:val="00CA33C0"/>
    <w:rsid w:val="00CA4241"/>
    <w:rsid w:val="00CA72AE"/>
    <w:rsid w:val="00CB0C07"/>
    <w:rsid w:val="00CB15E6"/>
    <w:rsid w:val="00CB1BE0"/>
    <w:rsid w:val="00CB3C5B"/>
    <w:rsid w:val="00CB59BD"/>
    <w:rsid w:val="00CB5CD9"/>
    <w:rsid w:val="00CB6CC7"/>
    <w:rsid w:val="00CB7B1E"/>
    <w:rsid w:val="00CC08C2"/>
    <w:rsid w:val="00CC1479"/>
    <w:rsid w:val="00CC6258"/>
    <w:rsid w:val="00CC7D3C"/>
    <w:rsid w:val="00CD06CA"/>
    <w:rsid w:val="00CD0F9D"/>
    <w:rsid w:val="00CE21D5"/>
    <w:rsid w:val="00CE24E6"/>
    <w:rsid w:val="00CE2575"/>
    <w:rsid w:val="00CE5BE1"/>
    <w:rsid w:val="00CE67EE"/>
    <w:rsid w:val="00CF5B63"/>
    <w:rsid w:val="00CF5C29"/>
    <w:rsid w:val="00D03621"/>
    <w:rsid w:val="00D069F4"/>
    <w:rsid w:val="00D140D4"/>
    <w:rsid w:val="00D16CDD"/>
    <w:rsid w:val="00D21206"/>
    <w:rsid w:val="00D23795"/>
    <w:rsid w:val="00D32B3F"/>
    <w:rsid w:val="00D32CBA"/>
    <w:rsid w:val="00D33049"/>
    <w:rsid w:val="00D3500A"/>
    <w:rsid w:val="00D36C98"/>
    <w:rsid w:val="00D408C4"/>
    <w:rsid w:val="00D40FB7"/>
    <w:rsid w:val="00D44CF6"/>
    <w:rsid w:val="00D53337"/>
    <w:rsid w:val="00D541EE"/>
    <w:rsid w:val="00D5449D"/>
    <w:rsid w:val="00D56513"/>
    <w:rsid w:val="00D57020"/>
    <w:rsid w:val="00D57909"/>
    <w:rsid w:val="00D579AB"/>
    <w:rsid w:val="00D610A3"/>
    <w:rsid w:val="00D61E88"/>
    <w:rsid w:val="00D62BC6"/>
    <w:rsid w:val="00D66AFE"/>
    <w:rsid w:val="00D704BD"/>
    <w:rsid w:val="00D71547"/>
    <w:rsid w:val="00D74F7A"/>
    <w:rsid w:val="00D76E9F"/>
    <w:rsid w:val="00D77AD7"/>
    <w:rsid w:val="00D80C47"/>
    <w:rsid w:val="00D828CA"/>
    <w:rsid w:val="00D8648D"/>
    <w:rsid w:val="00D91547"/>
    <w:rsid w:val="00D91B08"/>
    <w:rsid w:val="00DA7155"/>
    <w:rsid w:val="00DB60BB"/>
    <w:rsid w:val="00DC61A0"/>
    <w:rsid w:val="00DC6681"/>
    <w:rsid w:val="00DC68E9"/>
    <w:rsid w:val="00DD2B04"/>
    <w:rsid w:val="00DD3FDE"/>
    <w:rsid w:val="00DD430B"/>
    <w:rsid w:val="00DD667D"/>
    <w:rsid w:val="00DE4759"/>
    <w:rsid w:val="00DF3F8A"/>
    <w:rsid w:val="00E01983"/>
    <w:rsid w:val="00E0279B"/>
    <w:rsid w:val="00E040C1"/>
    <w:rsid w:val="00E05D6F"/>
    <w:rsid w:val="00E05D93"/>
    <w:rsid w:val="00E15220"/>
    <w:rsid w:val="00E15CF3"/>
    <w:rsid w:val="00E16CBF"/>
    <w:rsid w:val="00E17193"/>
    <w:rsid w:val="00E2105B"/>
    <w:rsid w:val="00E279F7"/>
    <w:rsid w:val="00E27D71"/>
    <w:rsid w:val="00E31903"/>
    <w:rsid w:val="00E31B34"/>
    <w:rsid w:val="00E350A5"/>
    <w:rsid w:val="00E37137"/>
    <w:rsid w:val="00E4192B"/>
    <w:rsid w:val="00E41987"/>
    <w:rsid w:val="00E42367"/>
    <w:rsid w:val="00E42BE5"/>
    <w:rsid w:val="00E42E47"/>
    <w:rsid w:val="00E51DF5"/>
    <w:rsid w:val="00E5580E"/>
    <w:rsid w:val="00E55F84"/>
    <w:rsid w:val="00E64B25"/>
    <w:rsid w:val="00E65603"/>
    <w:rsid w:val="00E65AAB"/>
    <w:rsid w:val="00E67873"/>
    <w:rsid w:val="00E81CE6"/>
    <w:rsid w:val="00E84132"/>
    <w:rsid w:val="00E85B43"/>
    <w:rsid w:val="00E907CE"/>
    <w:rsid w:val="00E91033"/>
    <w:rsid w:val="00E93D80"/>
    <w:rsid w:val="00E977F4"/>
    <w:rsid w:val="00EA1E22"/>
    <w:rsid w:val="00EA3CB1"/>
    <w:rsid w:val="00EA64B7"/>
    <w:rsid w:val="00EA6744"/>
    <w:rsid w:val="00EB1BED"/>
    <w:rsid w:val="00EB52E7"/>
    <w:rsid w:val="00EC0A4D"/>
    <w:rsid w:val="00EC1538"/>
    <w:rsid w:val="00EC17F1"/>
    <w:rsid w:val="00EC1ECB"/>
    <w:rsid w:val="00EC427E"/>
    <w:rsid w:val="00ED2A65"/>
    <w:rsid w:val="00ED3C4B"/>
    <w:rsid w:val="00ED6EF9"/>
    <w:rsid w:val="00ED6F58"/>
    <w:rsid w:val="00ED6F60"/>
    <w:rsid w:val="00ED7BE8"/>
    <w:rsid w:val="00EE545E"/>
    <w:rsid w:val="00EE6A72"/>
    <w:rsid w:val="00EF3BBD"/>
    <w:rsid w:val="00EF7787"/>
    <w:rsid w:val="00EF77A6"/>
    <w:rsid w:val="00F02FF6"/>
    <w:rsid w:val="00F04522"/>
    <w:rsid w:val="00F06B17"/>
    <w:rsid w:val="00F06EFB"/>
    <w:rsid w:val="00F15325"/>
    <w:rsid w:val="00F16849"/>
    <w:rsid w:val="00F16D8A"/>
    <w:rsid w:val="00F17F5A"/>
    <w:rsid w:val="00F21007"/>
    <w:rsid w:val="00F21894"/>
    <w:rsid w:val="00F248FE"/>
    <w:rsid w:val="00F318FA"/>
    <w:rsid w:val="00F34955"/>
    <w:rsid w:val="00F36E9F"/>
    <w:rsid w:val="00F37AD1"/>
    <w:rsid w:val="00F402B1"/>
    <w:rsid w:val="00F40D25"/>
    <w:rsid w:val="00F43089"/>
    <w:rsid w:val="00F464CA"/>
    <w:rsid w:val="00F50B89"/>
    <w:rsid w:val="00F51DAC"/>
    <w:rsid w:val="00F553BB"/>
    <w:rsid w:val="00F75DC7"/>
    <w:rsid w:val="00F800B5"/>
    <w:rsid w:val="00F81273"/>
    <w:rsid w:val="00F81419"/>
    <w:rsid w:val="00F81C76"/>
    <w:rsid w:val="00F82DCE"/>
    <w:rsid w:val="00F90167"/>
    <w:rsid w:val="00F90875"/>
    <w:rsid w:val="00F919A6"/>
    <w:rsid w:val="00F92E1E"/>
    <w:rsid w:val="00F97141"/>
    <w:rsid w:val="00F97B23"/>
    <w:rsid w:val="00FA2F34"/>
    <w:rsid w:val="00FA4915"/>
    <w:rsid w:val="00FA52B5"/>
    <w:rsid w:val="00FA7400"/>
    <w:rsid w:val="00FB48A2"/>
    <w:rsid w:val="00FB51D7"/>
    <w:rsid w:val="00FC4C71"/>
    <w:rsid w:val="00FC5CDE"/>
    <w:rsid w:val="00FC5F52"/>
    <w:rsid w:val="00FC6B8A"/>
    <w:rsid w:val="00FD0B96"/>
    <w:rsid w:val="00FD1569"/>
    <w:rsid w:val="00FD351B"/>
    <w:rsid w:val="00FD5FA8"/>
    <w:rsid w:val="00FD6B47"/>
    <w:rsid w:val="00FE1178"/>
    <w:rsid w:val="00FE1B29"/>
    <w:rsid w:val="00FE2D74"/>
    <w:rsid w:val="00FE3173"/>
    <w:rsid w:val="00FF7758"/>
    <w:rsid w:val="0DDDB3F2"/>
    <w:rsid w:val="156D94DD"/>
    <w:rsid w:val="16780480"/>
    <w:rsid w:val="34756280"/>
    <w:rsid w:val="479CF7FA"/>
    <w:rsid w:val="5DCE935E"/>
    <w:rsid w:val="62E49394"/>
    <w:rsid w:val="66ACA1A0"/>
    <w:rsid w:val="71CB8481"/>
    <w:rsid w:val="752E9342"/>
    <w:rsid w:val="7AA18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7E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2" w:unhideWhenUsed="1"/>
    <w:lsdException w:name="toc 4" w:semiHidden="1" w:uiPriority="2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E3B"/>
    <w:pPr>
      <w:spacing w:before="120" w:after="120" w:line="240" w:lineRule="exact"/>
    </w:pPr>
    <w:rPr>
      <w:rFonts w:ascii="Book Antiqua" w:hAnsi="Book Antiqua"/>
      <w:sz w:val="19"/>
    </w:rPr>
  </w:style>
  <w:style w:type="paragraph" w:styleId="Heading1">
    <w:name w:val="heading 1"/>
    <w:basedOn w:val="HeadingBase"/>
    <w:next w:val="Normal"/>
    <w:link w:val="Heading1Char"/>
    <w:qFormat/>
    <w:rsid w:val="00565E1D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565E1D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565E1D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565E1D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565E1D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565E1D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565E1D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565E1D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5E1D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Centred">
    <w:name w:val="Table Column Heading Centred"/>
    <w:basedOn w:val="TableColumnHeadingBase"/>
    <w:next w:val="Normal"/>
    <w:rsid w:val="00565E1D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565E1D"/>
  </w:style>
  <w:style w:type="paragraph" w:customStyle="1" w:styleId="TableColumnHeadingRight">
    <w:name w:val="Table Column Heading Right"/>
    <w:basedOn w:val="TableColumnHeadingBase"/>
    <w:next w:val="Normal"/>
    <w:link w:val="TableColumnHeadingRightChar"/>
    <w:rsid w:val="00565E1D"/>
    <w:pPr>
      <w:jc w:val="right"/>
    </w:pPr>
  </w:style>
  <w:style w:type="character" w:customStyle="1" w:styleId="TableColumnHeadingRightChar">
    <w:name w:val="Table Column Heading Right Char"/>
    <w:link w:val="TableColumnHeadingRight"/>
    <w:rsid w:val="00565E1D"/>
    <w:rPr>
      <w:rFonts w:ascii="Arial Bold" w:hAnsi="Arial Bold"/>
      <w:b/>
      <w:sz w:val="16"/>
    </w:rPr>
  </w:style>
  <w:style w:type="character" w:customStyle="1" w:styleId="Heading6Char">
    <w:name w:val="Heading 6 Char"/>
    <w:basedOn w:val="DefaultParagraphFont"/>
    <w:link w:val="Heading6"/>
    <w:rsid w:val="00565E1D"/>
    <w:rPr>
      <w:rFonts w:ascii="Arial" w:hAnsi="Arial"/>
      <w:bCs/>
      <w:szCs w:val="22"/>
    </w:rPr>
  </w:style>
  <w:style w:type="paragraph" w:customStyle="1" w:styleId="ChartandTableFootnoteAlpha">
    <w:name w:val="Chart and Table Footnote Alpha"/>
    <w:basedOn w:val="HeadingBase"/>
    <w:next w:val="Normal"/>
    <w:rsid w:val="00565E1D"/>
    <w:pPr>
      <w:keepNext w:val="0"/>
      <w:spacing w:before="30"/>
    </w:pPr>
    <w:rPr>
      <w:color w:val="000000"/>
      <w:sz w:val="16"/>
    </w:rPr>
  </w:style>
  <w:style w:type="paragraph" w:styleId="Title">
    <w:name w:val="Title"/>
    <w:basedOn w:val="Normal"/>
    <w:link w:val="TitleChar"/>
    <w:qFormat/>
    <w:rsid w:val="00565E1D"/>
    <w:pPr>
      <w:spacing w:after="0"/>
      <w:jc w:val="center"/>
      <w:outlineLvl w:val="0"/>
    </w:pPr>
    <w:rPr>
      <w:rFonts w:ascii="Arial" w:hAnsi="Arial"/>
      <w:b/>
      <w:bCs/>
      <w:caps/>
      <w:kern w:val="28"/>
      <w:sz w:val="52"/>
      <w:szCs w:val="32"/>
      <w:lang w:val="x-none"/>
    </w:rPr>
  </w:style>
  <w:style w:type="character" w:customStyle="1" w:styleId="TitleChar">
    <w:name w:val="Title Char"/>
    <w:link w:val="Title"/>
    <w:rsid w:val="00565E1D"/>
    <w:rPr>
      <w:rFonts w:ascii="Arial" w:hAnsi="Arial"/>
      <w:b/>
      <w:bCs/>
      <w:caps/>
      <w:kern w:val="28"/>
      <w:sz w:val="52"/>
      <w:szCs w:val="32"/>
      <w:lang w:val="x-none"/>
    </w:rPr>
  </w:style>
  <w:style w:type="paragraph" w:customStyle="1" w:styleId="Department">
    <w:name w:val="Department"/>
    <w:basedOn w:val="Normal"/>
    <w:rsid w:val="00565E1D"/>
    <w:pPr>
      <w:spacing w:after="0" w:line="240" w:lineRule="auto"/>
      <w:jc w:val="center"/>
    </w:pPr>
    <w:rPr>
      <w:rFonts w:ascii="Arial" w:hAnsi="Arial"/>
      <w:b/>
      <w:sz w:val="52"/>
    </w:rPr>
  </w:style>
  <w:style w:type="character" w:customStyle="1" w:styleId="Heading1Char">
    <w:name w:val="Heading 1 Char"/>
    <w:basedOn w:val="DefaultParagraphFont"/>
    <w:link w:val="Heading1"/>
    <w:rsid w:val="00565E1D"/>
    <w:rPr>
      <w:rFonts w:ascii="Arial Bold" w:hAnsi="Arial Bold"/>
      <w:b/>
      <w:kern w:val="34"/>
      <w:sz w:val="36"/>
    </w:rPr>
  </w:style>
  <w:style w:type="character" w:customStyle="1" w:styleId="Heading2Char">
    <w:name w:val="Heading 2 Char"/>
    <w:basedOn w:val="DefaultParagraphFont"/>
    <w:link w:val="Heading2"/>
    <w:rsid w:val="00565E1D"/>
    <w:rPr>
      <w:rFonts w:ascii="Arial Bold" w:hAnsi="Arial Bold"/>
      <w:b/>
      <w:sz w:val="26"/>
    </w:rPr>
  </w:style>
  <w:style w:type="character" w:customStyle="1" w:styleId="Heading3Char">
    <w:name w:val="Heading 3 Char"/>
    <w:basedOn w:val="DefaultParagraphFont"/>
    <w:link w:val="Heading3"/>
    <w:rsid w:val="00565E1D"/>
    <w:rPr>
      <w:rFonts w:ascii="Arial Bold" w:hAnsi="Arial Bold"/>
      <w:b/>
      <w:sz w:val="22"/>
    </w:rPr>
  </w:style>
  <w:style w:type="character" w:customStyle="1" w:styleId="Heading4Char">
    <w:name w:val="Heading 4 Char"/>
    <w:basedOn w:val="DefaultParagraphFont"/>
    <w:link w:val="Heading4"/>
    <w:rsid w:val="00565E1D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rsid w:val="00565E1D"/>
    <w:rPr>
      <w:rFonts w:ascii="Arial" w:hAnsi="Arial"/>
      <w:bCs/>
      <w:i/>
      <w:iCs/>
      <w:szCs w:val="26"/>
    </w:rPr>
  </w:style>
  <w:style w:type="paragraph" w:styleId="TOC2">
    <w:name w:val="toc 2"/>
    <w:basedOn w:val="HeadingBase"/>
    <w:next w:val="Normal"/>
    <w:uiPriority w:val="39"/>
    <w:rsid w:val="00631368"/>
    <w:pPr>
      <w:keepNext w:val="0"/>
      <w:tabs>
        <w:tab w:val="right" w:leader="dot" w:pos="7700"/>
      </w:tabs>
      <w:spacing w:before="60" w:after="60"/>
      <w:ind w:right="851"/>
    </w:pPr>
    <w:rPr>
      <w:noProof/>
      <w:sz w:val="18"/>
      <w:lang w:val="en-US"/>
    </w:rPr>
  </w:style>
  <w:style w:type="paragraph" w:customStyle="1" w:styleId="ChartGraphic">
    <w:name w:val="Chart Graphic"/>
    <w:basedOn w:val="HeadingBase"/>
    <w:rsid w:val="00565E1D"/>
    <w:pPr>
      <w:jc w:val="center"/>
    </w:pPr>
    <w:rPr>
      <w:sz w:val="20"/>
    </w:rPr>
  </w:style>
  <w:style w:type="paragraph" w:customStyle="1" w:styleId="TableHeading">
    <w:name w:val="Table Heading"/>
    <w:basedOn w:val="HeadingBase"/>
    <w:next w:val="TableGraphic"/>
    <w:link w:val="TableHeadingChar"/>
    <w:qFormat/>
    <w:rsid w:val="00565E1D"/>
    <w:pPr>
      <w:spacing w:before="120" w:after="20"/>
    </w:pPr>
    <w:rPr>
      <w:b/>
      <w:sz w:val="20"/>
    </w:rPr>
  </w:style>
  <w:style w:type="paragraph" w:styleId="TOC1">
    <w:name w:val="toc 1"/>
    <w:basedOn w:val="HeaderBase"/>
    <w:next w:val="Normal"/>
    <w:uiPriority w:val="39"/>
    <w:rsid w:val="00565E1D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Header">
    <w:name w:val="header"/>
    <w:basedOn w:val="HeaderBase"/>
    <w:link w:val="HeaderChar"/>
    <w:qFormat/>
    <w:rsid w:val="00565E1D"/>
    <w:pPr>
      <w:tabs>
        <w:tab w:val="center" w:pos="4153"/>
        <w:tab w:val="right" w:pos="8306"/>
      </w:tabs>
    </w:pPr>
    <w:rPr>
      <w:color w:val="auto"/>
    </w:rPr>
  </w:style>
  <w:style w:type="character" w:customStyle="1" w:styleId="HeaderChar">
    <w:name w:val="Header Char"/>
    <w:basedOn w:val="DefaultParagraphFont"/>
    <w:link w:val="Header"/>
    <w:rsid w:val="00565E1D"/>
    <w:rPr>
      <w:rFonts w:ascii="Arial" w:hAnsi="Arial"/>
      <w:sz w:val="18"/>
    </w:rPr>
  </w:style>
  <w:style w:type="paragraph" w:styleId="Footer">
    <w:name w:val="footer"/>
    <w:basedOn w:val="FooterBase"/>
    <w:link w:val="FooterChar"/>
    <w:rsid w:val="00565E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65E1D"/>
    <w:rPr>
      <w:rFonts w:ascii="Arial" w:hAnsi="Arial"/>
      <w:color w:val="000000" w:themeColor="text1"/>
    </w:rPr>
  </w:style>
  <w:style w:type="character" w:styleId="PageNumber">
    <w:name w:val="page number"/>
    <w:basedOn w:val="DefaultParagraphFont"/>
    <w:rsid w:val="00565E1D"/>
    <w:rPr>
      <w:rFonts w:ascii="Arial" w:hAnsi="Arial" w:cs="Arial"/>
      <w:color w:val="auto"/>
    </w:rPr>
  </w:style>
  <w:style w:type="paragraph" w:customStyle="1" w:styleId="ContentsHeading">
    <w:name w:val="Contents Heading"/>
    <w:basedOn w:val="HeadingBase"/>
    <w:next w:val="Normal"/>
    <w:rsid w:val="00565E1D"/>
    <w:pPr>
      <w:spacing w:after="720"/>
    </w:pPr>
    <w:rPr>
      <w:b/>
      <w:bCs/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414081"/>
    <w:rPr>
      <w:color w:val="954F72" w:themeColor="followedHyperlink"/>
      <w:u w:val="single"/>
    </w:rPr>
  </w:style>
  <w:style w:type="paragraph" w:customStyle="1" w:styleId="ExampleText">
    <w:name w:val="Example Text"/>
    <w:basedOn w:val="Normal"/>
    <w:rsid w:val="00565E1D"/>
    <w:rPr>
      <w:i/>
      <w:color w:val="FF0000"/>
    </w:rPr>
  </w:style>
  <w:style w:type="paragraph" w:customStyle="1" w:styleId="HeaderEven">
    <w:name w:val="Header Even"/>
    <w:basedOn w:val="HeaderBase"/>
    <w:rsid w:val="00565E1D"/>
    <w:rPr>
      <w:color w:val="auto"/>
    </w:rPr>
  </w:style>
  <w:style w:type="paragraph" w:customStyle="1" w:styleId="HeaderOdd">
    <w:name w:val="Header Odd"/>
    <w:basedOn w:val="HeaderBase"/>
    <w:rsid w:val="00565E1D"/>
    <w:pPr>
      <w:jc w:val="right"/>
    </w:pPr>
    <w:rPr>
      <w:color w:val="000000" w:themeColor="text1"/>
    </w:rPr>
  </w:style>
  <w:style w:type="paragraph" w:customStyle="1" w:styleId="OverviewParagraph">
    <w:name w:val="Overview Paragraph"/>
    <w:basedOn w:val="Normal"/>
    <w:link w:val="OverviewParagraphChar"/>
    <w:rsid w:val="00565E1D"/>
    <w:pPr>
      <w:spacing w:line="240" w:lineRule="auto"/>
    </w:pPr>
  </w:style>
  <w:style w:type="paragraph" w:customStyle="1" w:styleId="SingleParagraph">
    <w:name w:val="Single Paragraph"/>
    <w:basedOn w:val="Normal"/>
    <w:rsid w:val="00565E1D"/>
    <w:pPr>
      <w:spacing w:before="0" w:after="0" w:line="240" w:lineRule="auto"/>
    </w:pPr>
  </w:style>
  <w:style w:type="paragraph" w:customStyle="1" w:styleId="PartHeading">
    <w:name w:val="Part Heading"/>
    <w:basedOn w:val="Title"/>
    <w:next w:val="Normal"/>
    <w:rsid w:val="00565E1D"/>
    <w:pPr>
      <w:spacing w:after="480" w:line="240" w:lineRule="auto"/>
      <w:outlineLvl w:val="9"/>
    </w:pPr>
    <w:rPr>
      <w:rFonts w:ascii="Arial Bold" w:hAnsi="Arial Bold" w:cs="Arial"/>
      <w:caps w:val="0"/>
      <w:lang w:val="en-AU"/>
    </w:rPr>
  </w:style>
  <w:style w:type="paragraph" w:customStyle="1" w:styleId="Tabletextjustified">
    <w:name w:val="Table text justified"/>
    <w:basedOn w:val="Normal"/>
    <w:semiHidden/>
    <w:rsid w:val="00565E1D"/>
    <w:pPr>
      <w:spacing w:before="100" w:after="100" w:line="250" w:lineRule="exact"/>
    </w:pPr>
    <w:rPr>
      <w:rFonts w:ascii="Arial" w:hAnsi="Arial" w:cs="Arial"/>
      <w:sz w:val="18"/>
    </w:rPr>
  </w:style>
  <w:style w:type="paragraph" w:customStyle="1" w:styleId="TableHeading2ndLevelWord">
    <w:name w:val="Table Heading 2nd Level Word"/>
    <w:basedOn w:val="Normal"/>
    <w:semiHidden/>
    <w:rsid w:val="00565E1D"/>
    <w:pPr>
      <w:spacing w:line="240" w:lineRule="auto"/>
    </w:pPr>
    <w:rPr>
      <w:rFonts w:ascii="Arial" w:hAnsi="Arial" w:cs="Arial"/>
      <w:b/>
      <w:sz w:val="18"/>
    </w:rPr>
  </w:style>
  <w:style w:type="paragraph" w:customStyle="1" w:styleId="TableSideHeading">
    <w:name w:val="Table Side Heading"/>
    <w:basedOn w:val="TableHeading2ndLevelWord"/>
    <w:semiHidden/>
    <w:rsid w:val="00565E1D"/>
    <w:pPr>
      <w:spacing w:before="100" w:after="100" w:line="250" w:lineRule="exact"/>
    </w:pPr>
  </w:style>
  <w:style w:type="character" w:customStyle="1" w:styleId="OverviewParagraphChar">
    <w:name w:val="Overview Paragraph Char"/>
    <w:link w:val="OverviewParagraph"/>
    <w:rsid w:val="00565E1D"/>
    <w:rPr>
      <w:rFonts w:ascii="Book Antiqua" w:hAnsi="Book Antiqua"/>
      <w:sz w:val="19"/>
    </w:rPr>
  </w:style>
  <w:style w:type="paragraph" w:customStyle="1" w:styleId="Area">
    <w:name w:val="Area"/>
    <w:basedOn w:val="Normal"/>
    <w:rsid w:val="00565E1D"/>
    <w:pPr>
      <w:tabs>
        <w:tab w:val="right" w:pos="9639"/>
      </w:tabs>
      <w:spacing w:after="0" w:line="240" w:lineRule="auto"/>
      <w:jc w:val="right"/>
    </w:pPr>
    <w:rPr>
      <w:rFonts w:ascii="Times New Roman" w:hAnsi="Times New Roman"/>
      <w:b/>
      <w:smallCaps/>
      <w:color w:val="000000"/>
      <w:sz w:val="28"/>
      <w:szCs w:val="28"/>
    </w:rPr>
  </w:style>
  <w:style w:type="paragraph" w:customStyle="1" w:styleId="ParliamentHouse">
    <w:name w:val="Parliament House"/>
    <w:basedOn w:val="Header"/>
    <w:rsid w:val="00565E1D"/>
    <w:pPr>
      <w:tabs>
        <w:tab w:val="right" w:pos="9639"/>
      </w:tabs>
      <w:spacing w:before="60" w:after="60"/>
      <w:jc w:val="right"/>
    </w:pPr>
    <w:rPr>
      <w:rFonts w:ascii="Times New Roman" w:hAnsi="Times New Roman"/>
      <w:b/>
      <w:caps/>
      <w:sz w:val="16"/>
      <w:szCs w:val="16"/>
    </w:rPr>
  </w:style>
  <w:style w:type="paragraph" w:customStyle="1" w:styleId="TableGraphic">
    <w:name w:val="Table Graphic"/>
    <w:basedOn w:val="Normal"/>
    <w:next w:val="Normal"/>
    <w:rsid w:val="00565E1D"/>
    <w:pPr>
      <w:spacing w:before="0" w:after="0" w:line="240" w:lineRule="auto"/>
      <w:ind w:right="-113"/>
    </w:pPr>
  </w:style>
  <w:style w:type="paragraph" w:customStyle="1" w:styleId="FigureHeading">
    <w:name w:val="Figure Heading"/>
    <w:basedOn w:val="HeadingBase"/>
    <w:next w:val="ChartGraphic"/>
    <w:rsid w:val="00565E1D"/>
    <w:pPr>
      <w:spacing w:before="120" w:after="20"/>
    </w:pPr>
    <w:rPr>
      <w:b/>
      <w:sz w:val="20"/>
    </w:rPr>
  </w:style>
  <w:style w:type="paragraph" w:customStyle="1" w:styleId="ChartandTableFootnote">
    <w:name w:val="Chart and Table Footnote"/>
    <w:basedOn w:val="HeadingBase"/>
    <w:next w:val="Normal"/>
    <w:link w:val="ChartandTableFootnoteChar"/>
    <w:rsid w:val="00565E1D"/>
    <w:pPr>
      <w:keepNext w:val="0"/>
      <w:tabs>
        <w:tab w:val="left" w:pos="709"/>
      </w:tabs>
      <w:spacing w:before="30"/>
    </w:pPr>
    <w:rPr>
      <w:color w:val="000000"/>
      <w:sz w:val="16"/>
    </w:rPr>
  </w:style>
  <w:style w:type="character" w:customStyle="1" w:styleId="TableHeadingChar">
    <w:name w:val="Table Heading Char"/>
    <w:link w:val="TableHeading"/>
    <w:rsid w:val="00565E1D"/>
    <w:rPr>
      <w:rFonts w:ascii="Arial" w:hAnsi="Arial"/>
      <w:b/>
    </w:rPr>
  </w:style>
  <w:style w:type="paragraph" w:customStyle="1" w:styleId="TPHeading1">
    <w:name w:val="TP Heading 1"/>
    <w:basedOn w:val="HeadingBase"/>
    <w:rsid w:val="00565E1D"/>
    <w:pPr>
      <w:spacing w:before="60" w:after="60"/>
      <w:ind w:left="851"/>
    </w:pPr>
    <w:rPr>
      <w:caps/>
      <w:spacing w:val="-10"/>
      <w:sz w:val="28"/>
    </w:rPr>
  </w:style>
  <w:style w:type="paragraph" w:customStyle="1" w:styleId="TPHeading3">
    <w:name w:val="TP Heading 3"/>
    <w:basedOn w:val="HeadingBase"/>
    <w:rsid w:val="00565E1D"/>
    <w:pPr>
      <w:ind w:left="851"/>
    </w:pPr>
    <w:rPr>
      <w:caps/>
      <w:spacing w:val="-10"/>
    </w:rPr>
  </w:style>
  <w:style w:type="paragraph" w:customStyle="1" w:styleId="TPHeading2">
    <w:name w:val="TP Heading 2"/>
    <w:basedOn w:val="HeadingBase"/>
    <w:rsid w:val="00565E1D"/>
    <w:pPr>
      <w:ind w:left="851"/>
    </w:pPr>
    <w:rPr>
      <w:b/>
      <w:caps/>
      <w:spacing w:val="-1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65E1D"/>
    <w:rPr>
      <w:rFonts w:ascii="Tahoma" w:hAnsi="Tahoma"/>
      <w:sz w:val="16"/>
      <w:szCs w:val="16"/>
      <w:lang w:val="x-none"/>
    </w:rPr>
  </w:style>
  <w:style w:type="paragraph" w:styleId="TOC3">
    <w:name w:val="toc 3"/>
    <w:basedOn w:val="HeadingBase"/>
    <w:next w:val="Normal"/>
    <w:uiPriority w:val="2"/>
    <w:unhideWhenUsed/>
    <w:rsid w:val="00565E1D"/>
    <w:pPr>
      <w:tabs>
        <w:tab w:val="right" w:leader="dot" w:pos="7700"/>
      </w:tabs>
      <w:spacing w:before="40"/>
      <w:ind w:right="851"/>
    </w:pPr>
    <w:rPr>
      <w:sz w:val="20"/>
    </w:rPr>
  </w:style>
  <w:style w:type="paragraph" w:customStyle="1" w:styleId="Outcomeheading">
    <w:name w:val="Outcome heading"/>
    <w:basedOn w:val="Heading3"/>
    <w:qFormat/>
    <w:rsid w:val="00565E1D"/>
  </w:style>
  <w:style w:type="paragraph" w:customStyle="1" w:styleId="Title2ndLevel">
    <w:name w:val="Title 2nd Level"/>
    <w:basedOn w:val="Normal"/>
    <w:rsid w:val="00F16D8A"/>
    <w:pPr>
      <w:spacing w:after="0" w:line="240" w:lineRule="auto"/>
      <w:jc w:val="center"/>
    </w:pPr>
    <w:rPr>
      <w:b/>
      <w:sz w:val="24"/>
    </w:rPr>
  </w:style>
  <w:style w:type="character" w:styleId="Hyperlink">
    <w:name w:val="Hyperlink"/>
    <w:uiPriority w:val="99"/>
    <w:unhideWhenUsed/>
    <w:rsid w:val="00565E1D"/>
    <w:rPr>
      <w:b w:val="0"/>
      <w:color w:val="auto"/>
      <w:u w:val="single"/>
    </w:rPr>
  </w:style>
  <w:style w:type="character" w:customStyle="1" w:styleId="A5">
    <w:name w:val="A5"/>
    <w:uiPriority w:val="99"/>
    <w:rsid w:val="00565E1D"/>
    <w:rPr>
      <w:rFonts w:ascii="Swiss 721 BT" w:hAnsi="Swiss 721 BT" w:cs="Swiss 721 BT" w:hint="default"/>
      <w:color w:val="000000"/>
      <w:sz w:val="20"/>
      <w:szCs w:val="20"/>
    </w:rPr>
  </w:style>
  <w:style w:type="paragraph" w:customStyle="1" w:styleId="ChartandTableFootnotenumbered">
    <w:name w:val="Chart and Table Footnote numbered"/>
    <w:basedOn w:val="Normal"/>
    <w:next w:val="Normal"/>
    <w:rsid w:val="00565E1D"/>
    <w:pPr>
      <w:keepNext/>
      <w:spacing w:after="0"/>
    </w:pPr>
    <w:rPr>
      <w:rFonts w:ascii="Arial" w:hAnsi="Arial"/>
      <w:sz w:val="16"/>
    </w:rPr>
  </w:style>
  <w:style w:type="paragraph" w:customStyle="1" w:styleId="Bullet">
    <w:name w:val="Bullet"/>
    <w:basedOn w:val="Normal"/>
    <w:link w:val="BulletChar"/>
    <w:qFormat/>
    <w:rsid w:val="00565E1D"/>
    <w:pPr>
      <w:numPr>
        <w:numId w:val="5"/>
      </w:numPr>
      <w:spacing w:after="160"/>
    </w:pPr>
  </w:style>
  <w:style w:type="character" w:customStyle="1" w:styleId="BulletChar">
    <w:name w:val="Bullet Char"/>
    <w:link w:val="Bullet"/>
    <w:rsid w:val="00565E1D"/>
    <w:rPr>
      <w:rFonts w:ascii="Book Antiqua" w:hAnsi="Book Antiqua"/>
      <w:sz w:val="19"/>
    </w:rPr>
  </w:style>
  <w:style w:type="paragraph" w:customStyle="1" w:styleId="Dash">
    <w:name w:val="Dash"/>
    <w:basedOn w:val="Normal"/>
    <w:link w:val="DashChar"/>
    <w:qFormat/>
    <w:rsid w:val="00565E1D"/>
    <w:pPr>
      <w:numPr>
        <w:ilvl w:val="1"/>
        <w:numId w:val="5"/>
      </w:numPr>
      <w:tabs>
        <w:tab w:val="left" w:pos="567"/>
      </w:tabs>
    </w:pPr>
  </w:style>
  <w:style w:type="character" w:customStyle="1" w:styleId="DashChar">
    <w:name w:val="Dash Char"/>
    <w:link w:val="Dash"/>
    <w:rsid w:val="00565E1D"/>
    <w:rPr>
      <w:rFonts w:ascii="Book Antiqua" w:hAnsi="Book Antiqua"/>
      <w:sz w:val="19"/>
    </w:rPr>
  </w:style>
  <w:style w:type="paragraph" w:customStyle="1" w:styleId="DoubleDot">
    <w:name w:val="Double Dot"/>
    <w:basedOn w:val="Normal"/>
    <w:link w:val="DoubleDotChar"/>
    <w:rsid w:val="00565E1D"/>
    <w:pPr>
      <w:numPr>
        <w:ilvl w:val="2"/>
        <w:numId w:val="5"/>
      </w:numPr>
    </w:pPr>
    <w:rPr>
      <w:lang w:val="x-none"/>
    </w:rPr>
  </w:style>
  <w:style w:type="character" w:customStyle="1" w:styleId="DoubleDotChar">
    <w:name w:val="Double Dot Char"/>
    <w:link w:val="DoubleDot"/>
    <w:rsid w:val="00565E1D"/>
    <w:rPr>
      <w:rFonts w:ascii="Book Antiqua" w:hAnsi="Book Antiqua"/>
      <w:sz w:val="19"/>
      <w:lang w:val="x-none"/>
    </w:rPr>
  </w:style>
  <w:style w:type="paragraph" w:styleId="NormalWeb">
    <w:name w:val="Normal (Web)"/>
    <w:basedOn w:val="Normal"/>
    <w:uiPriority w:val="99"/>
    <w:semiHidden/>
    <w:unhideWhenUsed/>
    <w:rsid w:val="00B06FD9"/>
    <w:rPr>
      <w:rFonts w:ascii="Times New Roman" w:hAnsi="Times New Roman"/>
      <w:sz w:val="24"/>
      <w:szCs w:val="24"/>
    </w:rPr>
  </w:style>
  <w:style w:type="paragraph" w:customStyle="1" w:styleId="BoxText">
    <w:name w:val="Box Text"/>
    <w:basedOn w:val="Normal"/>
    <w:qFormat/>
    <w:rsid w:val="00565E1D"/>
    <w:pPr>
      <w:spacing w:line="240" w:lineRule="auto"/>
    </w:pPr>
  </w:style>
  <w:style w:type="paragraph" w:customStyle="1" w:styleId="TableMainHeading">
    <w:name w:val="Table Main Heading"/>
    <w:basedOn w:val="Normal"/>
    <w:next w:val="Normal"/>
    <w:rsid w:val="00B36320"/>
    <w:pPr>
      <w:keepNext/>
    </w:pPr>
    <w:rPr>
      <w:rFonts w:ascii="Cambria" w:hAnsi="Cambria"/>
      <w:b/>
      <w:color w:val="FFFFFF"/>
    </w:rPr>
  </w:style>
  <w:style w:type="paragraph" w:customStyle="1" w:styleId="TableTextLeft">
    <w:name w:val="Table Text Left"/>
    <w:basedOn w:val="TableTextBase"/>
    <w:link w:val="TableTextLeftChar"/>
    <w:rsid w:val="00565E1D"/>
  </w:style>
  <w:style w:type="paragraph" w:customStyle="1" w:styleId="BoxBullet">
    <w:name w:val="Box Bullet"/>
    <w:basedOn w:val="BoxText"/>
    <w:rsid w:val="00565E1D"/>
    <w:pPr>
      <w:numPr>
        <w:numId w:val="2"/>
      </w:numPr>
    </w:pPr>
  </w:style>
  <w:style w:type="paragraph" w:customStyle="1" w:styleId="legcohead1">
    <w:name w:val="legcohead1"/>
    <w:basedOn w:val="Heading1"/>
    <w:semiHidden/>
    <w:rsid w:val="00B36320"/>
    <w:pPr>
      <w:pBdr>
        <w:bottom w:val="single" w:sz="6" w:space="12" w:color="auto"/>
      </w:pBdr>
      <w:spacing w:before="120" w:after="120"/>
    </w:pPr>
    <w:rPr>
      <w:rFonts w:ascii="Times New Roman" w:hAnsi="Times New Roman"/>
      <w:caps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34C"/>
    <w:pPr>
      <w:spacing w:before="960" w:after="960" w:line="240" w:lineRule="auto"/>
      <w:jc w:val="center"/>
    </w:pPr>
    <w:rPr>
      <w:rFonts w:ascii="Garamond" w:hAnsi="Garamond"/>
      <w:sz w:val="36"/>
      <w:szCs w:val="36"/>
    </w:rPr>
  </w:style>
  <w:style w:type="character" w:customStyle="1" w:styleId="SubtitleChar">
    <w:name w:val="Subtitle Char"/>
    <w:link w:val="Subtitle"/>
    <w:uiPriority w:val="11"/>
    <w:rsid w:val="001C534C"/>
    <w:rPr>
      <w:rFonts w:ascii="Garamond" w:hAnsi="Garamond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B36320"/>
    <w:pPr>
      <w:ind w:left="567"/>
    </w:pPr>
    <w:rPr>
      <w:rFonts w:ascii="Calibri" w:hAnsi="Calibri"/>
      <w:iCs/>
      <w:color w:val="000000"/>
      <w:sz w:val="24"/>
      <w:lang w:val="x-none"/>
    </w:rPr>
  </w:style>
  <w:style w:type="character" w:customStyle="1" w:styleId="QuoteChar">
    <w:name w:val="Quote Char"/>
    <w:link w:val="Quote"/>
    <w:uiPriority w:val="29"/>
    <w:rsid w:val="00B36320"/>
    <w:rPr>
      <w:rFonts w:cs="Times New Roman"/>
      <w:iCs/>
      <w:color w:val="000000"/>
      <w:sz w:val="24"/>
      <w:szCs w:val="20"/>
      <w:lang w:eastAsia="en-AU"/>
    </w:rPr>
  </w:style>
  <w:style w:type="character" w:styleId="CommentReference">
    <w:name w:val="annotation reference"/>
    <w:uiPriority w:val="99"/>
    <w:semiHidden/>
    <w:unhideWhenUsed/>
    <w:rsid w:val="00565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E1D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65E1D"/>
    <w:rPr>
      <w:rFonts w:ascii="Book Antiqua" w:hAnsi="Book Antiqua"/>
      <w:sz w:val="19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E1D"/>
    <w:rPr>
      <w:rFonts w:ascii="Book Antiqua" w:hAnsi="Book Antiqua"/>
      <w:b/>
      <w:bCs/>
      <w:sz w:val="19"/>
      <w:lang w:val="x-none" w:eastAsia="x-none"/>
    </w:rPr>
  </w:style>
  <w:style w:type="character" w:customStyle="1" w:styleId="ChartandTableFootnoteChar">
    <w:name w:val="Chart and Table Footnote Char"/>
    <w:link w:val="ChartandTableFootnote"/>
    <w:rsid w:val="00565E1D"/>
    <w:rPr>
      <w:rFonts w:ascii="Arial" w:hAnsi="Arial"/>
      <w:color w:val="000000"/>
      <w:sz w:val="16"/>
    </w:rPr>
  </w:style>
  <w:style w:type="paragraph" w:customStyle="1" w:styleId="TableTextBullet">
    <w:name w:val="Table Text Bullet"/>
    <w:basedOn w:val="TableTextBase"/>
    <w:rsid w:val="00565E1D"/>
    <w:pPr>
      <w:numPr>
        <w:numId w:val="6"/>
      </w:numPr>
    </w:pPr>
  </w:style>
  <w:style w:type="paragraph" w:customStyle="1" w:styleId="Heading2-NoTOC">
    <w:name w:val="Heading 2 - No TOC"/>
    <w:rsid w:val="00565E1D"/>
    <w:pPr>
      <w:spacing w:before="240" w:after="240"/>
    </w:pPr>
    <w:rPr>
      <w:rFonts w:ascii="Arial" w:hAnsi="Arial"/>
      <w:b/>
      <w:sz w:val="26"/>
    </w:rPr>
  </w:style>
  <w:style w:type="paragraph" w:styleId="TOC4">
    <w:name w:val="toc 4"/>
    <w:basedOn w:val="HeadingBase"/>
    <w:next w:val="Normal"/>
    <w:uiPriority w:val="2"/>
    <w:unhideWhenUsed/>
    <w:rsid w:val="00565E1D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Revision">
    <w:name w:val="Revision"/>
    <w:hidden/>
    <w:uiPriority w:val="99"/>
    <w:semiHidden/>
    <w:rsid w:val="00565E1D"/>
    <w:rPr>
      <w:rFonts w:ascii="Book Antiqua" w:hAnsi="Book Antiqua"/>
    </w:rPr>
  </w:style>
  <w:style w:type="paragraph" w:customStyle="1" w:styleId="TableTextBase">
    <w:name w:val="Table Text Base"/>
    <w:basedOn w:val="Normal"/>
    <w:link w:val="TableTextBaseChar"/>
    <w:rsid w:val="00565E1D"/>
    <w:pPr>
      <w:spacing w:before="20" w:after="20" w:line="240" w:lineRule="auto"/>
    </w:pPr>
    <w:rPr>
      <w:rFonts w:ascii="Arial" w:hAnsi="Arial"/>
      <w:sz w:val="16"/>
    </w:rPr>
  </w:style>
  <w:style w:type="character" w:customStyle="1" w:styleId="TableTextBaseChar">
    <w:name w:val="Table Text Base Char"/>
    <w:link w:val="TableTextBase"/>
    <w:rsid w:val="00565E1D"/>
    <w:rPr>
      <w:rFonts w:ascii="Arial" w:hAnsi="Arial"/>
      <w:sz w:val="16"/>
    </w:rPr>
  </w:style>
  <w:style w:type="character" w:customStyle="1" w:styleId="TableTextLeftChar">
    <w:name w:val="Table Text Left Char"/>
    <w:link w:val="TableTextLeft"/>
    <w:rsid w:val="00565E1D"/>
    <w:rPr>
      <w:rFonts w:ascii="Arial" w:hAnsi="Arial"/>
      <w:sz w:val="16"/>
    </w:rPr>
  </w:style>
  <w:style w:type="character" w:customStyle="1" w:styleId="Heading7Char">
    <w:name w:val="Heading 7 Char"/>
    <w:basedOn w:val="DefaultParagraphFont"/>
    <w:link w:val="Heading7"/>
    <w:rsid w:val="00565E1D"/>
    <w:rPr>
      <w:rFonts w:ascii="Arial" w:hAnsi="Arial"/>
      <w:szCs w:val="24"/>
    </w:rPr>
  </w:style>
  <w:style w:type="character" w:customStyle="1" w:styleId="Heading8Char">
    <w:name w:val="Heading 8 Char"/>
    <w:basedOn w:val="DefaultParagraphFont"/>
    <w:link w:val="Heading8"/>
    <w:rsid w:val="00565E1D"/>
    <w:rPr>
      <w:rFonts w:ascii="Times New Roman" w:hAnsi="Times New Roman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565E1D"/>
    <w:rPr>
      <w:rFonts w:ascii="Cambria" w:hAnsi="Cambria"/>
      <w:sz w:val="22"/>
      <w:szCs w:val="22"/>
    </w:rPr>
  </w:style>
  <w:style w:type="paragraph" w:styleId="NoSpacing">
    <w:name w:val="No Spacing"/>
    <w:uiPriority w:val="1"/>
    <w:qFormat/>
    <w:rsid w:val="00565E1D"/>
    <w:rPr>
      <w:rFonts w:ascii="Book Antiqua" w:hAnsi="Book Antiqua"/>
      <w:sz w:val="19"/>
    </w:rPr>
  </w:style>
  <w:style w:type="paragraph" w:customStyle="1" w:styleId="TableHeadingcontinued">
    <w:name w:val="Table Heading (continued)"/>
    <w:basedOn w:val="TableHeading"/>
    <w:rsid w:val="00565E1D"/>
    <w:rPr>
      <w:snapToGrid w:val="0"/>
    </w:rPr>
  </w:style>
  <w:style w:type="paragraph" w:customStyle="1" w:styleId="Heading1-NoTOC">
    <w:name w:val="Heading 1 - No TOC"/>
    <w:basedOn w:val="Heading1"/>
    <w:rsid w:val="00565E1D"/>
    <w:pPr>
      <w:outlineLvl w:val="9"/>
    </w:pPr>
  </w:style>
  <w:style w:type="paragraph" w:customStyle="1" w:styleId="PartHeading-NoTOC">
    <w:name w:val="Part Heading - No TOC"/>
    <w:basedOn w:val="PartHeading"/>
    <w:rsid w:val="00565E1D"/>
  </w:style>
  <w:style w:type="paragraph" w:customStyle="1" w:styleId="FooterOdd">
    <w:name w:val="Footer Odd"/>
    <w:basedOn w:val="Footer"/>
    <w:qFormat/>
    <w:rsid w:val="00565E1D"/>
    <w:pPr>
      <w:pBdr>
        <w:top w:val="single" w:sz="4" w:space="10" w:color="000000" w:themeColor="text1"/>
      </w:pBdr>
      <w:jc w:val="right"/>
    </w:pPr>
    <w:rPr>
      <w:sz w:val="18"/>
    </w:rPr>
  </w:style>
  <w:style w:type="paragraph" w:customStyle="1" w:styleId="FooterEven">
    <w:name w:val="Footer Even"/>
    <w:basedOn w:val="Footer"/>
    <w:qFormat/>
    <w:rsid w:val="00565E1D"/>
    <w:pPr>
      <w:pBdr>
        <w:top w:val="single" w:sz="4" w:space="10" w:color="000000" w:themeColor="text1"/>
      </w:pBdr>
      <w:jc w:val="left"/>
    </w:pPr>
    <w:rPr>
      <w:color w:val="auto"/>
      <w:sz w:val="18"/>
    </w:rPr>
  </w:style>
  <w:style w:type="table" w:styleId="TableGrid">
    <w:name w:val="Table Grid"/>
    <w:basedOn w:val="TableNormal"/>
    <w:rsid w:val="00565E1D"/>
    <w:pPr>
      <w:spacing w:after="240" w:line="260" w:lineRule="exac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Paragraph">
    <w:name w:val="Alpha Paragraph"/>
    <w:basedOn w:val="Normal"/>
    <w:rsid w:val="00565E1D"/>
    <w:pPr>
      <w:numPr>
        <w:numId w:val="1"/>
      </w:numPr>
      <w:tabs>
        <w:tab w:val="clear" w:pos="567"/>
        <w:tab w:val="num" w:pos="360"/>
      </w:tabs>
    </w:pPr>
  </w:style>
  <w:style w:type="paragraph" w:customStyle="1" w:styleId="HeadingBase">
    <w:name w:val="Heading Base"/>
    <w:link w:val="HeadingBaseChar"/>
    <w:rsid w:val="00565E1D"/>
    <w:pPr>
      <w:keepNext/>
    </w:pPr>
    <w:rPr>
      <w:rFonts w:ascii="Arial" w:hAnsi="Arial"/>
      <w:sz w:val="24"/>
    </w:rPr>
  </w:style>
  <w:style w:type="character" w:customStyle="1" w:styleId="HeadingBaseChar">
    <w:name w:val="Heading Base Char"/>
    <w:link w:val="HeadingBase"/>
    <w:rsid w:val="00565E1D"/>
    <w:rPr>
      <w:rFonts w:ascii="Arial" w:hAnsi="Arial"/>
      <w:sz w:val="24"/>
    </w:rPr>
  </w:style>
  <w:style w:type="paragraph" w:customStyle="1" w:styleId="AppendixHeading">
    <w:name w:val="Appendix Heading"/>
    <w:basedOn w:val="HeadingBase"/>
    <w:semiHidden/>
    <w:rsid w:val="00565E1D"/>
    <w:pPr>
      <w:spacing w:after="240"/>
      <w:jc w:val="center"/>
      <w:outlineLvl w:val="3"/>
    </w:pPr>
    <w:rPr>
      <w:b/>
      <w:smallCaps/>
      <w:sz w:val="30"/>
    </w:rPr>
  </w:style>
  <w:style w:type="paragraph" w:customStyle="1" w:styleId="BoxDash">
    <w:name w:val="Box Dash"/>
    <w:basedOn w:val="Normal"/>
    <w:rsid w:val="00565E1D"/>
    <w:pPr>
      <w:numPr>
        <w:ilvl w:val="1"/>
        <w:numId w:val="3"/>
      </w:numPr>
    </w:pPr>
    <w:rPr>
      <w:color w:val="000000"/>
    </w:rPr>
  </w:style>
  <w:style w:type="paragraph" w:customStyle="1" w:styleId="BoxDoubleDot">
    <w:name w:val="Box Double Dot"/>
    <w:basedOn w:val="Normal"/>
    <w:rsid w:val="00CA33C0"/>
    <w:pPr>
      <w:numPr>
        <w:ilvl w:val="2"/>
        <w:numId w:val="3"/>
      </w:numPr>
    </w:pPr>
    <w:rPr>
      <w:color w:val="000000"/>
    </w:rPr>
  </w:style>
  <w:style w:type="paragraph" w:customStyle="1" w:styleId="BoxHeading">
    <w:name w:val="Box Heading"/>
    <w:basedOn w:val="HeadingBase"/>
    <w:next w:val="BoxText"/>
    <w:rsid w:val="00565E1D"/>
    <w:pPr>
      <w:spacing w:before="120" w:after="120"/>
    </w:pPr>
    <w:rPr>
      <w:b/>
      <w:sz w:val="20"/>
    </w:rPr>
  </w:style>
  <w:style w:type="character" w:customStyle="1" w:styleId="BoxHeading-Continued">
    <w:name w:val="Box Heading - Continued"/>
    <w:uiPriority w:val="1"/>
    <w:qFormat/>
    <w:rsid w:val="00565E1D"/>
    <w:rPr>
      <w:sz w:val="22"/>
    </w:rPr>
  </w:style>
  <w:style w:type="paragraph" w:customStyle="1" w:styleId="BoxSubHeading">
    <w:name w:val="Box Sub Heading"/>
    <w:basedOn w:val="Heading6"/>
    <w:rsid w:val="00565E1D"/>
    <w:pPr>
      <w:spacing w:before="120" w:after="40"/>
    </w:pPr>
  </w:style>
  <w:style w:type="paragraph" w:customStyle="1" w:styleId="ChartandTableFootnoteAlpha-Bullet">
    <w:name w:val="Chart and Table Footnote Alpha - Bullet"/>
    <w:basedOn w:val="ChartandTableFootnoteAlpha"/>
    <w:rsid w:val="00565E1D"/>
    <w:pPr>
      <w:numPr>
        <w:numId w:val="4"/>
      </w:numPr>
      <w:tabs>
        <w:tab w:val="left" w:pos="454"/>
      </w:tabs>
    </w:pPr>
    <w:rPr>
      <w:rFonts w:cs="Arial"/>
      <w:szCs w:val="16"/>
    </w:rPr>
  </w:style>
  <w:style w:type="paragraph" w:customStyle="1" w:styleId="ChartHeading">
    <w:name w:val="Chart Heading"/>
    <w:basedOn w:val="HeadingBase"/>
    <w:next w:val="ChartGraphic"/>
    <w:qFormat/>
    <w:rsid w:val="00565E1D"/>
    <w:pPr>
      <w:spacing w:before="120" w:after="20"/>
    </w:pPr>
    <w:rPr>
      <w:b/>
      <w:sz w:val="20"/>
    </w:rPr>
  </w:style>
  <w:style w:type="paragraph" w:customStyle="1" w:styleId="ChartLine">
    <w:name w:val="Chart Line"/>
    <w:basedOn w:val="NoSpacing"/>
    <w:autoRedefine/>
    <w:qFormat/>
    <w:rsid w:val="00565E1D"/>
    <w:pPr>
      <w:pBdr>
        <w:bottom w:val="single" w:sz="4" w:space="2" w:color="D0CECE" w:themeColor="background2" w:themeShade="E6"/>
      </w:pBdr>
      <w:spacing w:after="240"/>
    </w:pPr>
    <w:rPr>
      <w:rFonts w:asciiTheme="minorHAnsi" w:hAnsiTheme="minorHAnsi"/>
      <w:noProof/>
      <w:sz w:val="4"/>
      <w:szCs w:val="4"/>
    </w:rPr>
  </w:style>
  <w:style w:type="paragraph" w:customStyle="1" w:styleId="ChartMainHeading">
    <w:name w:val="Chart Main Heading"/>
    <w:basedOn w:val="ChartHeading"/>
    <w:next w:val="ChartGraphic"/>
    <w:rsid w:val="00565E1D"/>
  </w:style>
  <w:style w:type="paragraph" w:customStyle="1" w:styleId="ChartSecondHeading">
    <w:name w:val="Chart Second Heading"/>
    <w:basedOn w:val="HeadingBase"/>
    <w:next w:val="ChartGraphic"/>
    <w:rsid w:val="00565E1D"/>
    <w:pPr>
      <w:spacing w:after="60"/>
    </w:pPr>
    <w:rPr>
      <w:sz w:val="19"/>
    </w:rPr>
  </w:style>
  <w:style w:type="paragraph" w:customStyle="1" w:styleId="DepartmentSubtitle">
    <w:name w:val="Department Subtitle"/>
    <w:basedOn w:val="Department"/>
    <w:rsid w:val="00565E1D"/>
    <w:rPr>
      <w:sz w:val="44"/>
    </w:rPr>
  </w:style>
  <w:style w:type="paragraph" w:customStyle="1" w:styleId="FileProperties">
    <w:name w:val="File Properties"/>
    <w:basedOn w:val="Normal"/>
    <w:rsid w:val="00565E1D"/>
    <w:pPr>
      <w:spacing w:before="0"/>
    </w:pPr>
    <w:rPr>
      <w:i/>
    </w:rPr>
  </w:style>
  <w:style w:type="paragraph" w:customStyle="1" w:styleId="FooterBase">
    <w:name w:val="Footer Base"/>
    <w:rsid w:val="00565E1D"/>
    <w:pPr>
      <w:jc w:val="center"/>
    </w:pPr>
    <w:rPr>
      <w:rFonts w:ascii="Arial" w:hAnsi="Arial"/>
      <w:color w:val="000000" w:themeColor="text1"/>
    </w:rPr>
  </w:style>
  <w:style w:type="paragraph" w:styleId="FootnoteText">
    <w:name w:val="footnote text"/>
    <w:basedOn w:val="Normal"/>
    <w:link w:val="FootnoteTextChar"/>
    <w:rsid w:val="00565E1D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565E1D"/>
    <w:rPr>
      <w:rFonts w:ascii="Book Antiqua" w:hAnsi="Book Antiqua"/>
      <w:sz w:val="18"/>
    </w:rPr>
  </w:style>
  <w:style w:type="character" w:customStyle="1" w:styleId="FramedHeader">
    <w:name w:val="Framed Header"/>
    <w:basedOn w:val="DefaultParagraphFont"/>
    <w:rsid w:val="00565E1D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565E1D"/>
    <w:rPr>
      <w:rFonts w:ascii="Arial" w:hAnsi="Arial"/>
      <w:color w:val="44546A" w:themeColor="text2"/>
      <w:sz w:val="18"/>
    </w:rPr>
  </w:style>
  <w:style w:type="paragraph" w:customStyle="1" w:styleId="Heading3-NoTOC">
    <w:name w:val="Heading 3 - No TOC"/>
    <w:basedOn w:val="Heading3"/>
    <w:next w:val="Normal"/>
    <w:rsid w:val="00565E1D"/>
    <w:pPr>
      <w:outlineLvl w:val="9"/>
    </w:pPr>
  </w:style>
  <w:style w:type="paragraph" w:styleId="ListParagraph">
    <w:name w:val="List Paragraph"/>
    <w:basedOn w:val="Normal"/>
    <w:qFormat/>
    <w:rsid w:val="00565E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Indent">
    <w:name w:val="Normal Indent"/>
    <w:basedOn w:val="Normal"/>
    <w:rsid w:val="00565E1D"/>
    <w:pPr>
      <w:ind w:left="567"/>
    </w:pPr>
  </w:style>
  <w:style w:type="paragraph" w:styleId="NoteHeading">
    <w:name w:val="Note Heading"/>
    <w:basedOn w:val="Normal"/>
    <w:next w:val="Normal"/>
    <w:link w:val="NoteHeadingChar"/>
    <w:rsid w:val="00565E1D"/>
  </w:style>
  <w:style w:type="character" w:customStyle="1" w:styleId="NoteHeadingChar">
    <w:name w:val="Note Heading Char"/>
    <w:basedOn w:val="DefaultParagraphFont"/>
    <w:link w:val="NoteHeading"/>
    <w:rsid w:val="00565E1D"/>
    <w:rPr>
      <w:rFonts w:ascii="Book Antiqua" w:hAnsi="Book Antiqua"/>
      <w:sz w:val="19"/>
    </w:rPr>
  </w:style>
  <w:style w:type="paragraph" w:customStyle="1" w:styleId="NoteTableHeading">
    <w:name w:val="Note Table Heading"/>
    <w:basedOn w:val="HeadingBase"/>
    <w:next w:val="Normal"/>
    <w:rsid w:val="00565E1D"/>
    <w:pPr>
      <w:spacing w:before="240"/>
    </w:pPr>
    <w:rPr>
      <w:b/>
      <w:sz w:val="20"/>
    </w:rPr>
  </w:style>
  <w:style w:type="paragraph" w:customStyle="1" w:styleId="Outcome">
    <w:name w:val="Outcome"/>
    <w:basedOn w:val="Normal"/>
    <w:rsid w:val="00565E1D"/>
    <w:pPr>
      <w:spacing w:line="280" w:lineRule="exact"/>
    </w:pPr>
    <w:rPr>
      <w:rFonts w:ascii="Arial" w:hAnsi="Arial" w:cs="Arial"/>
      <w:b/>
    </w:rPr>
  </w:style>
  <w:style w:type="paragraph" w:customStyle="1" w:styleId="ProgramHeading">
    <w:name w:val="Program Heading"/>
    <w:basedOn w:val="HeadingBase"/>
    <w:rsid w:val="00565E1D"/>
    <w:pPr>
      <w:pBdr>
        <w:top w:val="single" w:sz="2" w:space="3" w:color="auto"/>
        <w:bottom w:val="single" w:sz="2" w:space="3" w:color="auto"/>
      </w:pBdr>
      <w:shd w:val="clear" w:color="auto" w:fill="E6E6E6"/>
      <w:spacing w:after="120" w:line="280" w:lineRule="exact"/>
    </w:pPr>
    <w:rPr>
      <w:b/>
      <w:sz w:val="20"/>
    </w:rPr>
  </w:style>
  <w:style w:type="paragraph" w:customStyle="1" w:styleId="ProgramHeadingsub">
    <w:name w:val="Program Heading sub"/>
    <w:basedOn w:val="BoxHeading"/>
    <w:rsid w:val="00565E1D"/>
  </w:style>
  <w:style w:type="paragraph" w:customStyle="1" w:styleId="Statement">
    <w:name w:val="Statement"/>
    <w:basedOn w:val="Normal"/>
    <w:autoRedefine/>
    <w:qFormat/>
    <w:rsid w:val="00565E1D"/>
    <w:pPr>
      <w:textboxTightWrap w:val="firstAndLastLine"/>
    </w:pPr>
    <w:rPr>
      <w:rFonts w:cstheme="minorHAnsi"/>
      <w:kern w:val="18"/>
      <w:sz w:val="18"/>
    </w:rPr>
  </w:style>
  <w:style w:type="paragraph" w:customStyle="1" w:styleId="Statement-Bullet">
    <w:name w:val="Statement - Bullet"/>
    <w:basedOn w:val="Bullet"/>
    <w:qFormat/>
    <w:rsid w:val="00565E1D"/>
    <w:pPr>
      <w:ind w:left="284" w:hanging="284"/>
    </w:pPr>
  </w:style>
  <w:style w:type="paragraph" w:customStyle="1" w:styleId="TableColumnHeadingBase">
    <w:name w:val="Table Column Heading Base"/>
    <w:basedOn w:val="Normal"/>
    <w:rsid w:val="00565E1D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OutgroupHeading">
    <w:name w:val="Table Column Outgroup Heading"/>
    <w:basedOn w:val="Normal"/>
    <w:rsid w:val="00565E1D"/>
    <w:pPr>
      <w:spacing w:before="60" w:line="240" w:lineRule="auto"/>
    </w:pPr>
    <w:rPr>
      <w:b/>
      <w:sz w:val="22"/>
    </w:rPr>
  </w:style>
  <w:style w:type="paragraph" w:customStyle="1" w:styleId="TableColumnOutgroupSubheading">
    <w:name w:val="Table Column Outgroup Subheading"/>
    <w:basedOn w:val="Normal"/>
    <w:rsid w:val="00565E1D"/>
    <w:pPr>
      <w:spacing w:before="60" w:line="240" w:lineRule="auto"/>
      <w:jc w:val="center"/>
    </w:pPr>
  </w:style>
  <w:style w:type="paragraph" w:customStyle="1" w:styleId="TableHeadingNoTable">
    <w:name w:val="Table Heading No Table"/>
    <w:basedOn w:val="TableHeading"/>
    <w:next w:val="Normal"/>
    <w:rsid w:val="00565E1D"/>
    <w:pPr>
      <w:spacing w:after="240"/>
    </w:pPr>
  </w:style>
  <w:style w:type="paragraph" w:customStyle="1" w:styleId="TableLine">
    <w:name w:val="Table Line"/>
    <w:basedOn w:val="Normal"/>
    <w:next w:val="Normal"/>
    <w:autoRedefine/>
    <w:rsid w:val="00565E1D"/>
    <w:pPr>
      <w:pBdr>
        <w:bottom w:val="single" w:sz="4" w:space="2" w:color="D0CECE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TableTextCentred">
    <w:name w:val="Table Text Centred"/>
    <w:basedOn w:val="TableTextBase"/>
    <w:rsid w:val="00565E1D"/>
    <w:pPr>
      <w:jc w:val="center"/>
    </w:pPr>
  </w:style>
  <w:style w:type="paragraph" w:customStyle="1" w:styleId="TableTextDash">
    <w:name w:val="Table Text Dash"/>
    <w:basedOn w:val="TableTextBase"/>
    <w:rsid w:val="00565E1D"/>
    <w:pPr>
      <w:numPr>
        <w:ilvl w:val="1"/>
        <w:numId w:val="6"/>
      </w:numPr>
    </w:pPr>
  </w:style>
  <w:style w:type="paragraph" w:customStyle="1" w:styleId="TableTextIndented">
    <w:name w:val="Table Text Indented"/>
    <w:basedOn w:val="TableTextBase"/>
    <w:rsid w:val="00565E1D"/>
    <w:pPr>
      <w:ind w:left="284"/>
    </w:pPr>
  </w:style>
  <w:style w:type="paragraph" w:customStyle="1" w:styleId="TableTextJustified0">
    <w:name w:val="Table Text Justified"/>
    <w:basedOn w:val="TableTextBase"/>
    <w:rsid w:val="00565E1D"/>
    <w:pPr>
      <w:jc w:val="both"/>
    </w:pPr>
  </w:style>
  <w:style w:type="paragraph" w:customStyle="1" w:styleId="TableTextRight">
    <w:name w:val="Table Text Right"/>
    <w:basedOn w:val="TableTextBase"/>
    <w:rsid w:val="00565E1D"/>
    <w:pPr>
      <w:jc w:val="right"/>
    </w:pPr>
  </w:style>
  <w:style w:type="paragraph" w:customStyle="1" w:styleId="TPHeading3bold">
    <w:name w:val="TP Heading 3 bold"/>
    <w:basedOn w:val="TPHeading3"/>
    <w:semiHidden/>
    <w:rsid w:val="00565E1D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565E1D"/>
    <w:pPr>
      <w:spacing w:after="120"/>
    </w:pPr>
  </w:style>
  <w:style w:type="paragraph" w:customStyle="1" w:styleId="TPHEADING3space">
    <w:name w:val="TP HEADING 3 space"/>
    <w:basedOn w:val="TPHeading3"/>
    <w:semiHidden/>
    <w:rsid w:val="00565E1D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565E1D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5E1D"/>
    <w:rPr>
      <w:color w:val="605E5C"/>
      <w:shd w:val="clear" w:color="auto" w:fill="E1DFDD"/>
    </w:rPr>
  </w:style>
  <w:style w:type="paragraph" w:customStyle="1" w:styleId="CreativeCommons">
    <w:name w:val="Creative Commons"/>
    <w:basedOn w:val="Normal"/>
    <w:qFormat/>
    <w:rsid w:val="00EA3CB1"/>
    <w:pPr>
      <w:spacing w:line="220" w:lineRule="exact"/>
    </w:pPr>
    <w:rPr>
      <w:sz w:val="17"/>
    </w:rPr>
  </w:style>
  <w:style w:type="character" w:styleId="Mention">
    <w:name w:val="Mention"/>
    <w:basedOn w:val="DefaultParagraphFont"/>
    <w:uiPriority w:val="99"/>
    <w:unhideWhenUsed/>
    <w:rsid w:val="008E799A"/>
    <w:rPr>
      <w:color w:val="2B579A"/>
      <w:shd w:val="clear" w:color="auto" w:fill="E1DFDD"/>
    </w:rPr>
  </w:style>
  <w:style w:type="paragraph" w:customStyle="1" w:styleId="ChartandTableFootnote-Dash">
    <w:name w:val="Chart and Table Footnote - Dash"/>
    <w:basedOn w:val="Normal"/>
    <w:rsid w:val="00CA33C0"/>
    <w:pPr>
      <w:tabs>
        <w:tab w:val="left" w:pos="680"/>
        <w:tab w:val="left" w:pos="709"/>
      </w:tabs>
      <w:spacing w:before="30" w:line="240" w:lineRule="auto"/>
      <w:ind w:left="681" w:hanging="284"/>
    </w:pPr>
    <w:rPr>
      <w:rFonts w:ascii="Arial" w:hAnsi="Arial"/>
      <w:sz w:val="16"/>
    </w:rPr>
  </w:style>
  <w:style w:type="paragraph" w:customStyle="1" w:styleId="Heading4-NoTOC">
    <w:name w:val="Heading 4 - No TOC"/>
    <w:basedOn w:val="Heading4"/>
    <w:next w:val="Normal"/>
    <w:qFormat/>
    <w:rsid w:val="00A43A55"/>
    <w:pPr>
      <w:spacing w:before="120"/>
      <w:outlineLvl w:val="9"/>
    </w:pPr>
  </w:style>
  <w:style w:type="character" w:styleId="Strong">
    <w:name w:val="Strong"/>
    <w:basedOn w:val="DefaultParagraphFont"/>
    <w:uiPriority w:val="22"/>
    <w:qFormat/>
    <w:rsid w:val="004320E4"/>
    <w:rPr>
      <w:b/>
      <w:bCs/>
    </w:rPr>
  </w:style>
  <w:style w:type="paragraph" w:customStyle="1" w:styleId="Default">
    <w:name w:val="Default"/>
    <w:rsid w:val="00710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Date_x0020_Created xmlns="a334ba3b-e131-42d3-95f3-2728f5a41884" xsi:nil="true"/>
    <_dlc_DocId xmlns="6a7e9632-768a-49bf-85ac-c69233ab2a52">FIN33749-922497614-292504</_dlc_DocId>
    <TaxKeywordTaxHTField xmlns="a334ba3b-e131-42d3-95f3-2728f5a41884">
      <Terms xmlns="http://schemas.microsoft.com/office/infopath/2007/PartnerControls"/>
    </TaxKeywordTaxHTField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TaxCatchAll xmlns="a334ba3b-e131-42d3-95f3-2728f5a41884">
      <Value>34</Value>
      <Value>1</Value>
    </TaxCatchAll>
    <e0fcb3f570964638902a63147cd98219 xmlns="a334ba3b-e131-42d3-95f3-2728f5a41884">
      <Terms xmlns="http://schemas.microsoft.com/office/infopath/2007/PartnerControls"/>
    </e0fcb3f570964638902a63147cd98219>
    <Security_x0020_Classification xmlns="a334ba3b-e131-42d3-95f3-2728f5a41884">OFFICIAL</Security_x0020_Classification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Url xmlns="6a7e9632-768a-49bf-85ac-c69233ab2a52">
      <Url>https://financegovau.sharepoint.com/sites/M365_DoF_50033749/_layouts/15/DocIdRedir.aspx?ID=FIN33749-922497614-292504</Url>
      <Description>FIN33749-922497614-292504</Description>
    </_dlc_DocIdUrl>
    <lcf76f155ced4ddcb4097134ff3c332f xmlns="fbf7d680-a72a-44ba-9eda-d7d662f85f37">
      <Terms xmlns="http://schemas.microsoft.com/office/infopath/2007/PartnerControls"/>
    </lcf76f155ced4ddcb4097134ff3c332f>
    <_ip_UnifiedCompliancePolicyUIAction xmlns="http://schemas.microsoft.com/sharepoint/v3" xsi:nil="true"/>
    <_Flow_SignoffStatus xmlns="fbf7d680-a72a-44ba-9eda-d7d662f85f37" xsi:nil="true"/>
    <_ip_UnifiedCompliancePolicyProperties xmlns="http://schemas.microsoft.com/sharepoint/v3" xsi:nil="true"/>
    <ReviewDate xmlns="fbf7d680-a72a-44ba-9eda-d7d662f85f37" xsi:nil="true"/>
    <Status xmlns="fbf7d680-a72a-44ba-9eda-d7d662f85f37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43E768A6D0ABCB40A6C154183BC70566" ma:contentTypeVersion="39" ma:contentTypeDescription="Create a new document." ma:contentTypeScope="" ma:versionID="113125a5841a4b8654803de27e1771b6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fbf7d680-a72a-44ba-9eda-d7d662f85f37" targetNamespace="http://schemas.microsoft.com/office/2006/metadata/properties" ma:root="true" ma:fieldsID="da09647dfbe41fe3484058a64c708539" ns1:_="" ns2:_="" ns3:_="" ns4:_="">
    <xsd:import namespace="http://schemas.microsoft.com/sharepoint/v3"/>
    <xsd:import namespace="a334ba3b-e131-42d3-95f3-2728f5a41884"/>
    <xsd:import namespace="6a7e9632-768a-49bf-85ac-c69233ab2a52"/>
    <xsd:import namespace="fbf7d680-a72a-44ba-9eda-d7d662f85f37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Status" minOccurs="0"/>
                <xsd:element ref="ns4:MediaServiceObjectDetectorVersions" minOccurs="0"/>
                <xsd:element ref="ns4:_Flow_SignoffStatus" minOccurs="0"/>
                <xsd:element ref="ns1:_ip_UnifiedCompliancePolicyProperties" minOccurs="0"/>
                <xsd:element ref="ns1:_ip_UnifiedCompliancePolicyUIAction" minOccurs="0"/>
                <xsd:element ref="ns4:ReviewDat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438b907d-b390-44b9-a2bc-594715254730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CBMS|dbcc8989-87ee-4992-93dd-5b74a4c0543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438b907d-b390-44b9-a2bc-594715254730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7d680-a72a-44ba-9eda-d7d662f85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36" nillable="true" ma:displayName="Status" ma:format="Dropdown" ma:internalName="Status">
      <xsd:simpleType>
        <xsd:restriction base="dms:Choice">
          <xsd:enumeration value="DXC Review"/>
          <xsd:enumeration value="SME Review"/>
          <xsd:enumeration value="Director Approval"/>
          <xsd:enumeration value="Completed"/>
          <xsd:enumeration value="In Draft"/>
          <xsd:enumeration value="In Progress"/>
          <xsd:enumeration value="In Peer Review"/>
          <xsd:enumeration value="Archived"/>
          <xsd:enumeration value="Ratified"/>
        </xsd:restriction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8" nillable="true" ma:displayName="Sign-off status" ma:internalName="Sign_x002d_off_x0020_status">
      <xsd:simpleType>
        <xsd:restriction base="dms:Text"/>
      </xsd:simpleType>
    </xsd:element>
    <xsd:element name="ReviewDate" ma:index="41" nillable="true" ma:displayName="Next Review Date" ma:description="Next Scheduled Review Date" ma:format="DateOnly" ma:internalName="ReviewDate">
      <xsd:simpleType>
        <xsd:restriction base="dms:DateTim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EFA7A-B491-4B80-8A2F-ECDD72BD2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C1251-1886-4BF8-9E5A-CB35FA4C8D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B9210-0FF8-4CB5-AD3E-E3B535B6AE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140A1A-3307-430B-B16A-97E5EF6F9CE1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fbf7d680-a72a-44ba-9eda-d7d662f85f3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201A83D-9FE5-4E24-AD0C-C5D4033284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7E47A5E-7F09-490C-8064-96592F0AA34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5976E07-17E5-4D0A-87BD-B2C3D4FA1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fbf7d680-a72a-44ba-9eda-d7d662f85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2023-24_AG_PSAES</vt:lpstr>
    </vt:vector>
  </TitlesOfParts>
  <Manager/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Supplementary Additional Estimates Statements 2023–24</dc:title>
  <dc:subject/>
  <dc:creator/>
  <cp:keywords/>
  <dc:description/>
  <cp:lastModifiedBy/>
  <cp:revision>1</cp:revision>
  <dcterms:created xsi:type="dcterms:W3CDTF">2024-05-15T00:42:00Z</dcterms:created>
  <dcterms:modified xsi:type="dcterms:W3CDTF">2024-05-15T00:42:00Z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v=2022.1;a=SHA256;h=651090279EC0560C70A8853357AFF3B91528ACB1D9CB242982814777041D83CD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2024-04-10T06:38:45Z</vt:lpwstr>
  </property>
  <property fmtid="{D5CDD505-2E9C-101B-9397-08002B2CF9AE}" pid="10" name="PM_Markers">
    <vt:lpwstr/>
  </property>
  <property fmtid="{D5CDD505-2E9C-101B-9397-08002B2CF9AE}" pid="11" name="MSIP_Label_87d6481e-ccdd-4ab6-8b26-05a0df5699e7_Name">
    <vt:lpwstr>OFFICIAL</vt:lpwstr>
  </property>
  <property fmtid="{D5CDD505-2E9C-101B-9397-08002B2CF9AE}" pid="12" name="MSIP_Label_87d6481e-ccdd-4ab6-8b26-05a0df5699e7_SiteId">
    <vt:lpwstr>08954cee-4782-4ff6-9ad5-1997dccef4b0</vt:lpwstr>
  </property>
  <property fmtid="{D5CDD505-2E9C-101B-9397-08002B2CF9AE}" pid="13" name="MSIP_Label_87d6481e-ccdd-4ab6-8b26-05a0df5699e7_Enabled">
    <vt:lpwstr>true</vt:lpwstr>
  </property>
  <property fmtid="{D5CDD505-2E9C-101B-9397-08002B2CF9AE}" pid="14" name="MSIP_Label_87d6481e-ccdd-4ab6-8b26-05a0df5699e7_SetDate">
    <vt:lpwstr>2024-04-10T06:38:45Z</vt:lpwstr>
  </property>
  <property fmtid="{D5CDD505-2E9C-101B-9397-08002B2CF9AE}" pid="15" name="PM_OriginatorUserAccountName_SHA256">
    <vt:lpwstr>869BEF4D153D38258141D76D17BEA6F9ACE023819B047DAF442E1A32D10E4CFB</vt:lpwstr>
  </property>
  <property fmtid="{D5CDD505-2E9C-101B-9397-08002B2CF9AE}" pid="16" name="PM_SecurityClassification_Prev">
    <vt:lpwstr>OFFICIAL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dc7ed73459d041fc929b763f43fcf85c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AA4E7BDEC9F41A6C5C19F015E9671490D9E0CD5B</vt:lpwstr>
  </property>
  <property fmtid="{D5CDD505-2E9C-101B-9397-08002B2CF9AE}" pid="22" name="PM_DisplayValueSecClassificationWithQualifier">
    <vt:lpwstr>OFFICIAL</vt:lpwstr>
  </property>
  <property fmtid="{D5CDD505-2E9C-101B-9397-08002B2CF9AE}" pid="23" name="PM_ProtectiveMarkingValue_Footer">
    <vt:lpwstr>OFFICIAL</vt:lpwstr>
  </property>
  <property fmtid="{D5CDD505-2E9C-101B-9397-08002B2CF9AE}" pid="24" name="PM_Originating_FileId">
    <vt:lpwstr>E1BF24E9D8E54E1ABDC719D3F736F264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B7FFB8C7EA0114DFCA11F6F7ED7DB9D7</vt:lpwstr>
  </property>
  <property fmtid="{D5CDD505-2E9C-101B-9397-08002B2CF9AE}" pid="32" name="PM_Hash_Salt">
    <vt:lpwstr>E2E3B2A0AF5E06D9BFDE440122D33601</vt:lpwstr>
  </property>
  <property fmtid="{D5CDD505-2E9C-101B-9397-08002B2CF9AE}" pid="33" name="PM_Hash_SHA1">
    <vt:lpwstr>A93BC7F7FA9739697192196AE300ED2F3C92A1C3</vt:lpwstr>
  </property>
  <property fmtid="{D5CDD505-2E9C-101B-9397-08002B2CF9AE}" pid="34" name="PM_Qualifier_Prev">
    <vt:lpwstr/>
  </property>
  <property fmtid="{D5CDD505-2E9C-101B-9397-08002B2CF9AE}" pid="35" name="PM_Caveats_Count">
    <vt:lpwstr>0</vt:lpwstr>
  </property>
  <property fmtid="{D5CDD505-2E9C-101B-9397-08002B2CF9AE}" pid="36" name="TaxKeyword">
    <vt:lpwstr>34;#[SEC=OFFICIAL]|07351cc0-de73-4913-be2f-56f124cbf8bb</vt:lpwstr>
  </property>
  <property fmtid="{D5CDD505-2E9C-101B-9397-08002B2CF9AE}" pid="37" name="Organisation_x0020_Unit">
    <vt:lpwstr/>
  </property>
  <property fmtid="{D5CDD505-2E9C-101B-9397-08002B2CF9AE}" pid="38" name="MediaServiceImageTags">
    <vt:lpwstr/>
  </property>
  <property fmtid="{D5CDD505-2E9C-101B-9397-08002B2CF9AE}" pid="39" name="ContentTypeId">
    <vt:lpwstr>0x010100B7B479F47583304BA8B631462CC772D70043E768A6D0ABCB40A6C154183BC70566</vt:lpwstr>
  </property>
  <property fmtid="{D5CDD505-2E9C-101B-9397-08002B2CF9AE}" pid="40" name="Function_x0020_and_x0020_Activity">
    <vt:lpwstr/>
  </property>
  <property fmtid="{D5CDD505-2E9C-101B-9397-08002B2CF9AE}" pid="41" name="Organisation Unit">
    <vt:lpwstr/>
  </property>
  <property fmtid="{D5CDD505-2E9C-101B-9397-08002B2CF9AE}" pid="42" name="_dlc_DocIdItemGuid">
    <vt:lpwstr>2379141f-f7e3-4e91-9fd0-a926e2fa78f6</vt:lpwstr>
  </property>
  <property fmtid="{D5CDD505-2E9C-101B-9397-08002B2CF9AE}" pid="43" name="About Entity">
    <vt:lpwstr>1;#Department of Finance|fd660e8f-8f31-49bd-92a3-d31d4da31afe</vt:lpwstr>
  </property>
  <property fmtid="{D5CDD505-2E9C-101B-9397-08002B2CF9AE}" pid="44" name="Initiating Entity">
    <vt:lpwstr>1;#Department of Finance|fd660e8f-8f31-49bd-92a3-d31d4da31afe</vt:lpwstr>
  </property>
  <property fmtid="{D5CDD505-2E9C-101B-9397-08002B2CF9AE}" pid="45" name="Function and Activity">
    <vt:lpwstr/>
  </property>
</Properties>
</file>