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AD" w:rsidRPr="00EF79D4" w:rsidRDefault="007853AD" w:rsidP="007853AD">
      <w:pPr>
        <w:pStyle w:val="Heading1-LVL2"/>
        <w:rPr>
          <w:lang w:val="en-AU"/>
        </w:rPr>
      </w:pPr>
      <w:bookmarkStart w:id="0" w:name="_Toc184634"/>
      <w:bookmarkStart w:id="1" w:name="OLE_LINK12"/>
      <w:bookmarkStart w:id="2" w:name="OLE_LINK13"/>
      <w:bookmarkStart w:id="3" w:name="_Toc490972399"/>
      <w:bookmarkStart w:id="4" w:name="_Toc491014616"/>
      <w:bookmarkStart w:id="5" w:name="_Toc491014758"/>
      <w:bookmarkStart w:id="6" w:name="_Toc491014938"/>
      <w:bookmarkStart w:id="7" w:name="_Toc491015085"/>
      <w:bookmarkStart w:id="8" w:name="_Toc491029232"/>
      <w:bookmarkStart w:id="9" w:name="_Toc491030321"/>
      <w:bookmarkStart w:id="10" w:name="_Toc491030781"/>
      <w:bookmarkStart w:id="11" w:name="_Toc491031344"/>
      <w:bookmarkStart w:id="12" w:name="_Toc491031931"/>
      <w:bookmarkStart w:id="13" w:name="_Toc491032101"/>
      <w:bookmarkStart w:id="14" w:name="_Toc491032212"/>
      <w:bookmarkStart w:id="15" w:name="_Toc491032319"/>
      <w:bookmarkStart w:id="16" w:name="_Toc491771706"/>
      <w:bookmarkStart w:id="17" w:name="_Toc491773281"/>
      <w:bookmarkStart w:id="18" w:name="_Toc23559340"/>
      <w:bookmarkStart w:id="19" w:name="_Toc23559374"/>
      <w:bookmarkStart w:id="20" w:name="_Toc23559665"/>
      <w:bookmarkStart w:id="21" w:name="_Toc23560128"/>
      <w:bookmarkStart w:id="22" w:name="_Toc23563423"/>
      <w:bookmarkStart w:id="23" w:name="_Toc77998677"/>
      <w:bookmarkStart w:id="24" w:name="_Toc79399716"/>
      <w:bookmarkStart w:id="25" w:name="_Toc112211956"/>
      <w:bookmarkStart w:id="26" w:name="_Toc112212050"/>
      <w:bookmarkStart w:id="27" w:name="_Toc112137868"/>
      <w:bookmarkStart w:id="28" w:name="_Toc112137890"/>
      <w:bookmarkStart w:id="29" w:name="_Toc210646448"/>
      <w:bookmarkStart w:id="30" w:name="_Toc210698427"/>
      <w:bookmarkStart w:id="31" w:name="_Toc210703208"/>
      <w:bookmarkStart w:id="32" w:name="_Toc436624138"/>
      <w:bookmarkStart w:id="33" w:name="_Toc436625439"/>
      <w:bookmarkStart w:id="34" w:name="_Toc449255759"/>
      <w:bookmarkStart w:id="35" w:name="_Toc490972400"/>
      <w:bookmarkStart w:id="36" w:name="_Toc491014617"/>
      <w:bookmarkStart w:id="37" w:name="_Toc491014759"/>
      <w:bookmarkStart w:id="38" w:name="_Toc491014939"/>
      <w:bookmarkStart w:id="39" w:name="_Toc491015086"/>
      <w:bookmarkStart w:id="40" w:name="_Toc491029233"/>
      <w:bookmarkStart w:id="41" w:name="_Toc491030322"/>
      <w:bookmarkStart w:id="42" w:name="_Toc491030782"/>
      <w:bookmarkStart w:id="43" w:name="_Toc491031345"/>
      <w:bookmarkStart w:id="44" w:name="_Toc491031932"/>
      <w:bookmarkStart w:id="45" w:name="_Toc491032102"/>
      <w:bookmarkStart w:id="46" w:name="_Toc491032213"/>
      <w:bookmarkStart w:id="47" w:name="_Toc491032320"/>
      <w:bookmarkStart w:id="48" w:name="_Toc491771707"/>
      <w:bookmarkStart w:id="49" w:name="_Toc491773282"/>
      <w:bookmarkStart w:id="50" w:name="_Toc23559341"/>
      <w:bookmarkStart w:id="51" w:name="_Toc23559375"/>
      <w:bookmarkStart w:id="52" w:name="_Toc23559666"/>
      <w:bookmarkStart w:id="53" w:name="_Toc23560129"/>
      <w:bookmarkStart w:id="54" w:name="_Toc23563424"/>
      <w:bookmarkStart w:id="55" w:name="_Toc77998678"/>
      <w:bookmarkStart w:id="56" w:name="_Toc79406107"/>
      <w:bookmarkStart w:id="57" w:name="_Toc79467809"/>
      <w:bookmarkStart w:id="58" w:name="_Toc112211957"/>
      <w:bookmarkStart w:id="59" w:name="_Toc112212051"/>
      <w:bookmarkStart w:id="60" w:name="_Toc112137869"/>
      <w:bookmarkStart w:id="61" w:name="_Toc112137891"/>
      <w:bookmarkStart w:id="62" w:name="_GoBack"/>
      <w:bookmarkEnd w:id="62"/>
      <w:r>
        <w:rPr>
          <w:lang w:val="en-AU"/>
        </w:rPr>
        <w:t>Office of the Director of Public Prosecutions</w:t>
      </w:r>
      <w:bookmarkEnd w:id="0"/>
    </w:p>
    <w:p w:rsidR="00DF50F4" w:rsidRPr="00F045E6" w:rsidRDefault="00DF50F4" w:rsidP="00DF50F4">
      <w:pPr>
        <w:pStyle w:val="Heading2-TOC"/>
      </w:pPr>
      <w:r w:rsidRPr="00F045E6">
        <w:t>Section 1: Entity overview and resources</w:t>
      </w:r>
    </w:p>
    <w:p w:rsidR="00DF50F4" w:rsidRPr="002322E9" w:rsidRDefault="00DF50F4" w:rsidP="00DF50F4">
      <w:pPr>
        <w:pStyle w:val="Heading3"/>
        <w:rPr>
          <w:lang w:val="en-AU"/>
        </w:rPr>
      </w:pPr>
      <w:r>
        <w:t>1.1</w:t>
      </w:r>
      <w:r>
        <w:tab/>
      </w:r>
      <w:r w:rsidRPr="004928FF">
        <w:t>Strategic direction</w:t>
      </w:r>
      <w:r>
        <w:rPr>
          <w:lang w:val="en-AU"/>
        </w:rPr>
        <w:t xml:space="preserve"> statement</w:t>
      </w:r>
    </w:p>
    <w:p w:rsidR="00DF50F4" w:rsidRDefault="00DF50F4" w:rsidP="00DF50F4">
      <w:pPr>
        <w:pStyle w:val="ExampleText"/>
      </w:pPr>
      <w:r>
        <w:rPr>
          <w:i w:val="0"/>
          <w:color w:val="auto"/>
        </w:rPr>
        <w:t>The strategic direction statement for the Office of the Director of Public Prosecutions (DPP) can be found in the 2018-19 Portfolio Budget Statements. There has been no change to the DPP’s strategic direction as a result of Additional Estimates.</w:t>
      </w:r>
      <w:r>
        <w:t xml:space="preserve"> </w:t>
      </w:r>
    </w:p>
    <w:p w:rsidR="00DF50F4" w:rsidRPr="004928FF" w:rsidRDefault="00DF50F4" w:rsidP="00DF50F4">
      <w:pPr>
        <w:pStyle w:val="Heading3"/>
      </w:pPr>
      <w:r>
        <w:t>1.2</w:t>
      </w:r>
      <w:r>
        <w:tab/>
        <w:t>Entity resource statement</w:t>
      </w:r>
    </w:p>
    <w:p w:rsidR="00DF50F4" w:rsidRPr="00557CCF" w:rsidRDefault="00DF50F4" w:rsidP="00DF50F4">
      <w:pPr>
        <w:jc w:val="left"/>
      </w:pPr>
      <w:r>
        <w:t>The entity resource statement details the resourcing for the DPP at Additional Estimates. Table 1.1 outlines the total resourcing available from all sources for the 2018</w:t>
      </w:r>
      <w:r>
        <w:noBreakHyphen/>
        <w:t xml:space="preserve">19 Budget year, including variations through </w:t>
      </w:r>
      <w:r w:rsidRPr="00B94BE6">
        <w:t>Appropriation Bill No. 3</w:t>
      </w:r>
      <w:r>
        <w:t xml:space="preserve">. </w:t>
      </w:r>
    </w:p>
    <w:p w:rsidR="00DF50F4" w:rsidRDefault="00DF50F4" w:rsidP="00DF50F4">
      <w:pPr>
        <w:pStyle w:val="TableHeading"/>
        <w:rPr>
          <w:lang w:val="en-AU"/>
        </w:rPr>
      </w:pPr>
    </w:p>
    <w:p w:rsidR="00DF50F4" w:rsidRDefault="00DF50F4" w:rsidP="00DF50F4">
      <w:pPr>
        <w:pStyle w:val="TableHeading"/>
        <w:rPr>
          <w:lang w:val="en-AU"/>
        </w:rPr>
      </w:pPr>
    </w:p>
    <w:p w:rsidR="00DF50F4" w:rsidRDefault="00DF50F4" w:rsidP="00DF50F4">
      <w:pPr>
        <w:pStyle w:val="ListParagraph"/>
        <w:rPr>
          <w:color w:val="1F497D"/>
        </w:rPr>
      </w:pPr>
    </w:p>
    <w:p w:rsidR="00DF50F4" w:rsidRDefault="00DF50F4" w:rsidP="00DF50F4">
      <w:pPr>
        <w:pStyle w:val="TableHeading"/>
      </w:pPr>
      <w:r>
        <w:br w:type="page"/>
      </w:r>
      <w:r w:rsidRPr="00564C0F">
        <w:lastRenderedPageBreak/>
        <w:t xml:space="preserve">Table 1.1: Entity </w:t>
      </w:r>
      <w:r>
        <w:rPr>
          <w:lang w:val="en-AU"/>
        </w:rPr>
        <w:t>re</w:t>
      </w:r>
      <w:r w:rsidRPr="00564C0F">
        <w:t xml:space="preserve">source statement </w:t>
      </w:r>
      <w:r>
        <w:rPr>
          <w:lang w:val="en-AU"/>
        </w:rPr>
        <w:t>– a</w:t>
      </w:r>
      <w:r w:rsidRPr="00564C0F">
        <w:t xml:space="preserve">dditional </w:t>
      </w:r>
      <w:r>
        <w:rPr>
          <w:lang w:val="en-AU"/>
        </w:rPr>
        <w:t>e</w:t>
      </w:r>
      <w:r w:rsidRPr="00564C0F">
        <w:t>stimates for 201</w:t>
      </w:r>
      <w:r>
        <w:rPr>
          <w:lang w:val="en-AU"/>
        </w:rPr>
        <w:t>8-19</w:t>
      </w:r>
      <w:r w:rsidRPr="00564C0F">
        <w:t xml:space="preserve"> as at Additional Estimates </w:t>
      </w:r>
      <w:r w:rsidRPr="000D6DEF">
        <w:t>February 2</w:t>
      </w:r>
      <w:r w:rsidRPr="00137600">
        <w:t>01</w:t>
      </w:r>
      <w:r>
        <w:rPr>
          <w:lang w:val="en-AU"/>
        </w:rPr>
        <w:t>9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78"/>
        <w:gridCol w:w="1241"/>
        <w:gridCol w:w="965"/>
        <w:gridCol w:w="1103"/>
        <w:gridCol w:w="1124"/>
      </w:tblGrid>
      <w:tr w:rsidR="00DF50F4" w:rsidRPr="00005C0A" w:rsidTr="00DB6503">
        <w:trPr>
          <w:trHeight w:val="1099"/>
        </w:trPr>
        <w:tc>
          <w:tcPr>
            <w:tcW w:w="2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iCs/>
                <w:sz w:val="16"/>
                <w:szCs w:val="16"/>
              </w:rPr>
              <w:t>Actual</w:t>
            </w:r>
            <w:r w:rsidRPr="00C9781F"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available</w:t>
            </w:r>
            <w:r w:rsidRPr="00C9781F"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appropriation</w:t>
            </w:r>
            <w:r w:rsidRPr="00C9781F"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2017-18</w:t>
            </w:r>
            <w:r w:rsidRPr="00C9781F"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$'000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as at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Budget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2018-19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Proposed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Additional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Estimates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2018-19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 xml:space="preserve">estimate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Additional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Estimates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2018-19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</w:tr>
      <w:tr w:rsidR="00DF50F4" w:rsidRPr="00005C0A" w:rsidTr="004961D4">
        <w:trPr>
          <w:trHeight w:val="227"/>
        </w:trPr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DEPARTMENTAL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C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F50F4" w:rsidRPr="00005C0A" w:rsidTr="004961D4">
        <w:trPr>
          <w:trHeight w:val="227"/>
        </w:trPr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Annual appropriations – ordinary annual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services (a)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5C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50F4" w:rsidRPr="00005C0A" w:rsidTr="004961D4">
        <w:trPr>
          <w:trHeight w:val="227"/>
        </w:trPr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color w:val="000000"/>
                <w:sz w:val="16"/>
                <w:szCs w:val="16"/>
              </w:rPr>
              <w:t>Prior year appropriations available (b)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11,322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12,165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5C0A">
              <w:rPr>
                <w:rFonts w:ascii="Arial" w:hAnsi="Arial" w:cs="Arial"/>
                <w:sz w:val="16"/>
                <w:szCs w:val="16"/>
              </w:rPr>
              <w:t xml:space="preserve">12,165 </w:t>
            </w:r>
          </w:p>
        </w:tc>
      </w:tr>
      <w:tr w:rsidR="00DF50F4" w:rsidRPr="00005C0A" w:rsidTr="004961D4">
        <w:trPr>
          <w:trHeight w:val="227"/>
        </w:trPr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color w:val="000000"/>
                <w:sz w:val="16"/>
                <w:szCs w:val="16"/>
              </w:rPr>
              <w:t>Departmental appropriation (c)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77,405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75,948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534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5C0A">
              <w:rPr>
                <w:rFonts w:ascii="Arial" w:hAnsi="Arial" w:cs="Arial"/>
                <w:sz w:val="16"/>
                <w:szCs w:val="16"/>
              </w:rPr>
              <w:t xml:space="preserve">76,482 </w:t>
            </w:r>
          </w:p>
        </w:tc>
      </w:tr>
      <w:tr w:rsidR="00DF50F4" w:rsidRPr="00005C0A" w:rsidTr="004961D4">
        <w:trPr>
          <w:trHeight w:val="227"/>
        </w:trPr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color w:val="000000"/>
                <w:sz w:val="16"/>
                <w:szCs w:val="16"/>
              </w:rPr>
              <w:t>s74 retained revenue receipts (d)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9,293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8,984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240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5C0A">
              <w:rPr>
                <w:rFonts w:ascii="Arial" w:hAnsi="Arial" w:cs="Arial"/>
                <w:sz w:val="16"/>
                <w:szCs w:val="16"/>
              </w:rPr>
              <w:t xml:space="preserve">9,224 </w:t>
            </w:r>
          </w:p>
        </w:tc>
      </w:tr>
      <w:tr w:rsidR="00DF50F4" w:rsidRPr="00005C0A" w:rsidTr="004961D4">
        <w:trPr>
          <w:trHeight w:val="227"/>
        </w:trPr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color w:val="000000"/>
                <w:sz w:val="16"/>
                <w:szCs w:val="16"/>
              </w:rPr>
              <w:t>Departmental capital budget (e)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4,135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2,118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5C0A">
              <w:rPr>
                <w:rFonts w:ascii="Arial" w:hAnsi="Arial" w:cs="Arial"/>
                <w:sz w:val="16"/>
                <w:szCs w:val="16"/>
              </w:rPr>
              <w:t xml:space="preserve">2,118 </w:t>
            </w:r>
          </w:p>
        </w:tc>
      </w:tr>
      <w:tr w:rsidR="00DF50F4" w:rsidRPr="00005C0A" w:rsidTr="004961D4">
        <w:trPr>
          <w:trHeight w:val="227"/>
        </w:trPr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net resourcing for entity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102,155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99,215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774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C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99,989 </w:t>
            </w:r>
          </w:p>
        </w:tc>
      </w:tr>
      <w:tr w:rsidR="00DF50F4" w:rsidRPr="00005C0A" w:rsidTr="00DB6503">
        <w:trPr>
          <w:trHeight w:val="225"/>
        </w:trPr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005C0A" w:rsidTr="00DB6503">
        <w:trPr>
          <w:trHeight w:val="367"/>
        </w:trPr>
        <w:tc>
          <w:tcPr>
            <w:tcW w:w="2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Actual</w:t>
            </w:r>
            <w:r w:rsidRPr="00C9781F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br w:type="page"/>
              <w:t xml:space="preserve"> 2017-18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2018-19</w:t>
            </w:r>
          </w:p>
        </w:tc>
      </w:tr>
      <w:tr w:rsidR="00DF50F4" w:rsidRPr="00005C0A" w:rsidTr="00DB6503">
        <w:trPr>
          <w:trHeight w:val="225"/>
        </w:trPr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Average staffing level (number)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379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05C0A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C0A">
              <w:rPr>
                <w:rFonts w:ascii="Arial" w:hAnsi="Arial" w:cs="Arial"/>
                <w:color w:val="000000"/>
                <w:sz w:val="16"/>
                <w:szCs w:val="16"/>
              </w:rPr>
              <w:t xml:space="preserve">390 </w:t>
            </w:r>
          </w:p>
        </w:tc>
      </w:tr>
    </w:tbl>
    <w:p w:rsidR="00DF50F4" w:rsidRPr="00E83AB7" w:rsidRDefault="00DF50F4" w:rsidP="00DF50F4">
      <w:pPr>
        <w:pStyle w:val="Source"/>
      </w:pPr>
      <w:r w:rsidRPr="00E83AB7">
        <w:t>Prepared on a resourcing (appropriations available) basis.</w:t>
      </w:r>
    </w:p>
    <w:p w:rsidR="00DF50F4" w:rsidRPr="00E83AB7" w:rsidRDefault="00DF50F4" w:rsidP="00DF50F4">
      <w:pPr>
        <w:pStyle w:val="Source"/>
      </w:pPr>
      <w:r>
        <w:t>N</w:t>
      </w:r>
      <w:r w:rsidRPr="00E83AB7">
        <w:t xml:space="preserve">ote: All figures shown above are GST exclusive </w:t>
      </w:r>
      <w:r>
        <w:t>and</w:t>
      </w:r>
      <w:r w:rsidRPr="00E83AB7">
        <w:t xml:space="preserve"> may not match figures in the cash flow statement. </w:t>
      </w:r>
    </w:p>
    <w:p w:rsidR="00DF50F4" w:rsidRPr="009C33E9" w:rsidRDefault="00DF50F4" w:rsidP="00DB6503">
      <w:pPr>
        <w:pStyle w:val="ChartandTableFootnoteAlpha"/>
        <w:numPr>
          <w:ilvl w:val="0"/>
          <w:numId w:val="44"/>
        </w:numPr>
      </w:pPr>
      <w:r w:rsidRPr="00A953E0">
        <w:rPr>
          <w:i/>
        </w:rPr>
        <w:t>Appropriation Act No. 1 2018-19</w:t>
      </w:r>
      <w:r w:rsidRPr="009C33E9">
        <w:t xml:space="preserve"> and Appropriation Bill No. 3 2018-19.</w:t>
      </w:r>
    </w:p>
    <w:p w:rsidR="00DF50F4" w:rsidRDefault="00DF50F4" w:rsidP="00DF50F4">
      <w:pPr>
        <w:pStyle w:val="ChartandTableFootnoteAlpha"/>
        <w:rPr>
          <w:rFonts w:cs="Arial"/>
          <w:color w:val="000000"/>
          <w:szCs w:val="16"/>
        </w:rPr>
      </w:pPr>
      <w:r w:rsidRPr="00F4675D">
        <w:rPr>
          <w:rFonts w:cs="Arial"/>
          <w:color w:val="000000"/>
          <w:szCs w:val="16"/>
        </w:rPr>
        <w:t>Estimated adjusted balance carried forward from previous year for annual appropriation.</w:t>
      </w:r>
    </w:p>
    <w:p w:rsidR="00DF50F4" w:rsidRPr="00BC6C74" w:rsidRDefault="00DF50F4" w:rsidP="00DF50F4">
      <w:pPr>
        <w:pStyle w:val="ChartandTableFootnoteAlpha"/>
        <w:jc w:val="left"/>
        <w:rPr>
          <w:rFonts w:cs="Arial"/>
          <w:color w:val="000000"/>
          <w:szCs w:val="16"/>
        </w:rPr>
      </w:pPr>
      <w:r w:rsidRPr="00BC6C74">
        <w:rPr>
          <w:rFonts w:cs="Arial"/>
          <w:color w:val="000000"/>
          <w:szCs w:val="16"/>
        </w:rPr>
        <w:t xml:space="preserve">Excludes $0.234m withheld under section 51 of the </w:t>
      </w:r>
      <w:r w:rsidRPr="00C9781F">
        <w:rPr>
          <w:rFonts w:cs="Arial"/>
          <w:i/>
          <w:color w:val="000000"/>
          <w:szCs w:val="16"/>
        </w:rPr>
        <w:t>Public Governance, Performance and Accountability Act 2013 (PGPA Act)</w:t>
      </w:r>
      <w:r>
        <w:rPr>
          <w:rFonts w:cs="Arial"/>
          <w:color w:val="000000"/>
          <w:szCs w:val="16"/>
        </w:rPr>
        <w:t>.</w:t>
      </w:r>
    </w:p>
    <w:p w:rsidR="00DF50F4" w:rsidRDefault="00DF50F4" w:rsidP="00DF50F4">
      <w:pPr>
        <w:pStyle w:val="ChartandTableFootnoteAlpha"/>
        <w:rPr>
          <w:rFonts w:cs="Arial"/>
          <w:color w:val="000000"/>
          <w:szCs w:val="16"/>
        </w:rPr>
      </w:pPr>
      <w:r w:rsidRPr="00E83AB7">
        <w:rPr>
          <w:rFonts w:cs="Arial"/>
          <w:color w:val="000000"/>
          <w:szCs w:val="16"/>
        </w:rPr>
        <w:t xml:space="preserve">Estimated retained revenue receipts under section 74 of the </w:t>
      </w:r>
      <w:r w:rsidRPr="00C9781F">
        <w:rPr>
          <w:rFonts w:cs="Arial"/>
          <w:i/>
          <w:color w:val="000000"/>
          <w:szCs w:val="16"/>
        </w:rPr>
        <w:t>PGPA Act</w:t>
      </w:r>
      <w:r w:rsidRPr="00E83AB7">
        <w:rPr>
          <w:rFonts w:cs="Arial"/>
          <w:color w:val="000000"/>
          <w:szCs w:val="16"/>
        </w:rPr>
        <w:t>.</w:t>
      </w:r>
    </w:p>
    <w:p w:rsidR="00DF50F4" w:rsidRPr="001B0661" w:rsidRDefault="00DF50F4" w:rsidP="00DF50F4">
      <w:pPr>
        <w:pStyle w:val="ChartandTableFootnoteAlpha"/>
      </w:pPr>
      <w:r w:rsidRPr="001B0661">
        <w:t xml:space="preserve">Departmental capital budgets are not separately identified in </w:t>
      </w:r>
      <w:r w:rsidRPr="00C9781F">
        <w:rPr>
          <w:i/>
        </w:rPr>
        <w:t>Appropriation Act No.1</w:t>
      </w:r>
      <w:r w:rsidRPr="001B0661">
        <w:t xml:space="preserve"> and form part of ordinary annual services items. Please refer to Table 3.</w:t>
      </w:r>
      <w:r>
        <w:t>6</w:t>
      </w:r>
      <w:r w:rsidRPr="001B0661">
        <w:t xml:space="preserve"> for further details. For accounting purposes, this amount has been designated as a 'contribution by owner'.</w:t>
      </w:r>
    </w:p>
    <w:p w:rsidR="00DF50F4" w:rsidRPr="00F045E6" w:rsidRDefault="00DF50F4" w:rsidP="00DF50F4"/>
    <w:p w:rsidR="00DF50F4" w:rsidRPr="00643B7D" w:rsidRDefault="00DF50F4" w:rsidP="00DF50F4">
      <w:pPr>
        <w:pStyle w:val="Heading3"/>
        <w:rPr>
          <w:lang w:val="en-AU"/>
        </w:rPr>
      </w:pPr>
      <w:r>
        <w:t>1.3</w:t>
      </w:r>
      <w:r>
        <w:tab/>
        <w:t>Entity Measures</w:t>
      </w:r>
    </w:p>
    <w:p w:rsidR="00DF50F4" w:rsidRDefault="00DF50F4" w:rsidP="00DF50F4">
      <w:r>
        <w:t xml:space="preserve">Table 1.2 summarises new </w:t>
      </w:r>
      <w:r w:rsidR="00E84DCA">
        <w:t>g</w:t>
      </w:r>
      <w:r>
        <w:t xml:space="preserve">overnment measures taken since the 2018-19 Budget. </w:t>
      </w:r>
    </w:p>
    <w:p w:rsidR="00DF50F4" w:rsidRDefault="00DF50F4" w:rsidP="00DF50F4">
      <w:pPr>
        <w:pStyle w:val="TableHeading"/>
      </w:pPr>
      <w:r w:rsidRPr="00486E77">
        <w:t xml:space="preserve">Table 1.2: </w:t>
      </w:r>
      <w:r>
        <w:t>Entity</w:t>
      </w:r>
      <w:r w:rsidRPr="00486E77">
        <w:t xml:space="preserve"> </w:t>
      </w:r>
      <w:r>
        <w:t>201</w:t>
      </w:r>
      <w:r>
        <w:rPr>
          <w:lang w:val="en-AU"/>
        </w:rPr>
        <w:t>8-19</w:t>
      </w:r>
      <w:r w:rsidRPr="00486E77">
        <w:t xml:space="preserve"> measures since Budget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3"/>
        <w:gridCol w:w="876"/>
        <w:gridCol w:w="928"/>
        <w:gridCol w:w="928"/>
        <w:gridCol w:w="928"/>
        <w:gridCol w:w="928"/>
      </w:tblGrid>
      <w:tr w:rsidR="00DF50F4" w:rsidRPr="00B65FA2" w:rsidTr="00F633F1">
        <w:trPr>
          <w:trHeight w:val="397"/>
        </w:trPr>
        <w:tc>
          <w:tcPr>
            <w:tcW w:w="20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2019-20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2020-21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2021-22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</w:tr>
      <w:tr w:rsidR="00DF50F4" w:rsidRPr="00B65FA2" w:rsidTr="00607155">
        <w:trPr>
          <w:trHeight w:val="198"/>
        </w:trPr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Expense measures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B65FA2" w:rsidTr="00607155">
        <w:trPr>
          <w:trHeight w:val="198"/>
        </w:trPr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Assistance for Victims of Child Sexual Abuse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B65FA2" w:rsidTr="00607155">
        <w:trPr>
          <w:trHeight w:val="198"/>
        </w:trPr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Departmental expenses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     362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     708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     712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     717 </w:t>
            </w:r>
          </w:p>
        </w:tc>
      </w:tr>
      <w:tr w:rsidR="00DF50F4" w:rsidRPr="00B65FA2" w:rsidTr="00607155">
        <w:trPr>
          <w:trHeight w:val="198"/>
        </w:trPr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Strengthening Enforcement Capability for Corporate Crime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B65FA2" w:rsidTr="00607155">
        <w:trPr>
          <w:trHeight w:val="198"/>
        </w:trPr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Departmental expenses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     228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  5,432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12,033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10,346 </w:t>
            </w:r>
          </w:p>
        </w:tc>
      </w:tr>
      <w:tr w:rsidR="00DF50F4" w:rsidRPr="00B65FA2" w:rsidTr="00607155">
        <w:trPr>
          <w:trHeight w:val="198"/>
        </w:trPr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Strengthening the Integrity of Welfare Payments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B65FA2">
              <w:rPr>
                <w:rFonts w:ascii="Arial" w:hAnsi="Arial" w:cs="Arial"/>
                <w:sz w:val="16"/>
                <w:szCs w:val="16"/>
              </w:rPr>
              <w:t xml:space="preserve">extension and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65FA2">
              <w:rPr>
                <w:rFonts w:ascii="Arial" w:hAnsi="Arial" w:cs="Arial"/>
                <w:sz w:val="16"/>
                <w:szCs w:val="16"/>
              </w:rPr>
              <w:t>amendments</w:t>
            </w:r>
            <w:r>
              <w:rPr>
                <w:rFonts w:ascii="Arial" w:hAnsi="Arial" w:cs="Arial"/>
                <w:sz w:val="16"/>
                <w:szCs w:val="16"/>
              </w:rPr>
              <w:t xml:space="preserve"> (a)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B65FA2" w:rsidTr="00607155">
        <w:trPr>
          <w:trHeight w:val="198"/>
        </w:trPr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Departmental expenses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0C91"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Pr="00B65F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  2,467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      2,484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0C91" w:rsidRPr="00ED766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DF50F4" w:rsidRPr="00B65FA2" w:rsidTr="00607155">
        <w:trPr>
          <w:trHeight w:val="198"/>
        </w:trPr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FA2">
              <w:rPr>
                <w:rFonts w:ascii="Arial" w:hAnsi="Arial" w:cs="Arial"/>
                <w:b/>
                <w:bCs/>
                <w:sz w:val="16"/>
                <w:szCs w:val="16"/>
              </w:rPr>
              <w:t>Total expense measures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F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F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590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F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8,607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F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15,229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B65FA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F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11,063 </w:t>
            </w:r>
          </w:p>
        </w:tc>
      </w:tr>
    </w:tbl>
    <w:p w:rsidR="00DF50F4" w:rsidRPr="00643B7D" w:rsidRDefault="00DF50F4" w:rsidP="00DF50F4">
      <w:pPr>
        <w:pStyle w:val="Source"/>
        <w:jc w:val="left"/>
      </w:pPr>
      <w:r w:rsidRPr="00643B7D">
        <w:t>Prepared on a Government Financial Statistics (fiscal) basis</w:t>
      </w:r>
      <w:r>
        <w:t>.</w:t>
      </w:r>
    </w:p>
    <w:p w:rsidR="00DF50F4" w:rsidRDefault="00DF50F4" w:rsidP="003D6215">
      <w:pPr>
        <w:pStyle w:val="ChartandTableFootnoteAlpha"/>
        <w:numPr>
          <w:ilvl w:val="0"/>
          <w:numId w:val="43"/>
        </w:numPr>
        <w:tabs>
          <w:tab w:val="clear" w:pos="397"/>
          <w:tab w:val="num" w:pos="284"/>
        </w:tabs>
        <w:spacing w:after="0"/>
        <w:ind w:left="284" w:hanging="284"/>
        <w:jc w:val="left"/>
      </w:pPr>
      <w:r>
        <w:t xml:space="preserve">The lead entity for this measure is the Department of Human Services. The full measure description and package details appear in </w:t>
      </w:r>
      <w:r w:rsidR="00610DD2">
        <w:t xml:space="preserve">the </w:t>
      </w:r>
      <w:r>
        <w:t>2018-19 Mid-Year Economic and Fiscal Outlook under the Social Services portfolio.</w:t>
      </w:r>
    </w:p>
    <w:p w:rsidR="00DF50F4" w:rsidRPr="00F045E6" w:rsidRDefault="00DF50F4" w:rsidP="00DF50F4"/>
    <w:p w:rsidR="00DF50F4" w:rsidRPr="001E1BB6" w:rsidRDefault="00DF50F4" w:rsidP="00A953E0">
      <w:pPr>
        <w:pStyle w:val="Heading3"/>
        <w:ind w:left="709" w:hanging="709"/>
        <w:rPr>
          <w:lang w:val="en-AU"/>
        </w:rPr>
      </w:pPr>
      <w:r>
        <w:lastRenderedPageBreak/>
        <w:t>1.4</w:t>
      </w:r>
      <w:r>
        <w:tab/>
        <w:t>Additional estimates</w:t>
      </w:r>
      <w:r>
        <w:rPr>
          <w:lang w:val="en-AU"/>
        </w:rPr>
        <w:t>, resourcing</w:t>
      </w:r>
      <w:r>
        <w:t xml:space="preserve"> and v</w:t>
      </w:r>
      <w:r w:rsidRPr="00597122">
        <w:t>ariations</w:t>
      </w:r>
      <w:r>
        <w:rPr>
          <w:lang w:val="en-AU"/>
        </w:rPr>
        <w:t xml:space="preserve"> to </w:t>
      </w:r>
      <w:r w:rsidR="00A953E0">
        <w:rPr>
          <w:lang w:val="en-AU"/>
        </w:rPr>
        <w:t xml:space="preserve"> </w:t>
      </w:r>
      <w:r>
        <w:rPr>
          <w:lang w:val="en-AU"/>
        </w:rPr>
        <w:t>outcomes</w:t>
      </w:r>
    </w:p>
    <w:p w:rsidR="00DF50F4" w:rsidRPr="001A75A9" w:rsidRDefault="00DF50F4" w:rsidP="00DF50F4">
      <w:pPr>
        <w:jc w:val="left"/>
      </w:pPr>
      <w:r w:rsidRPr="00314E6B">
        <w:t xml:space="preserve">The following tables detail the changes to the resourcing for </w:t>
      </w:r>
      <w:r w:rsidRPr="0067752C">
        <w:t>the DPP at Additional Estimates</w:t>
      </w:r>
      <w:r w:rsidRPr="00C54BA9">
        <w:t xml:space="preserve"> by outcome</w:t>
      </w:r>
      <w:r w:rsidRPr="004657F5">
        <w:t>.</w:t>
      </w:r>
      <w:r>
        <w:t xml:space="preserve"> Table 1.3 details the Additional Estimates resulting from </w:t>
      </w:r>
      <w:r w:rsidRPr="00C73746">
        <w:t>new</w:t>
      </w:r>
      <w:r>
        <w:t xml:space="preserve"> measures and other variations since the 2018-19 Budget </w:t>
      </w:r>
      <w:r w:rsidRPr="00C9781F">
        <w:t>in Appropriation Bill</w:t>
      </w:r>
      <w:r>
        <w:t xml:space="preserve"> </w:t>
      </w:r>
      <w:r w:rsidRPr="00C9781F">
        <w:t>No. 3</w:t>
      </w:r>
      <w:r w:rsidRPr="00BE3A98">
        <w:t>.</w:t>
      </w:r>
    </w:p>
    <w:p w:rsidR="00DF50F4" w:rsidRDefault="00DF50F4" w:rsidP="00DF50F4">
      <w:pPr>
        <w:pStyle w:val="TableHeading"/>
      </w:pPr>
      <w:r>
        <w:rPr>
          <w:lang w:val="en-AU"/>
        </w:rPr>
        <w:t>T</w:t>
      </w:r>
      <w:r w:rsidRPr="001A75A9">
        <w:t>able 1.</w:t>
      </w:r>
      <w:r>
        <w:t xml:space="preserve">3: </w:t>
      </w:r>
      <w:r w:rsidRPr="001A75A9">
        <w:t xml:space="preserve">Additional </w:t>
      </w:r>
      <w:r>
        <w:t>e</w:t>
      </w:r>
      <w:r w:rsidRPr="001A75A9">
        <w:t>stimates</w:t>
      </w:r>
      <w:r>
        <w:rPr>
          <w:lang w:val="en-AU"/>
        </w:rPr>
        <w:t xml:space="preserve"> </w:t>
      </w:r>
      <w:r w:rsidRPr="001A75A9">
        <w:t xml:space="preserve">and </w:t>
      </w:r>
      <w:r>
        <w:rPr>
          <w:lang w:val="en-AU"/>
        </w:rPr>
        <w:t xml:space="preserve">other </w:t>
      </w:r>
      <w:r>
        <w:t>v</w:t>
      </w:r>
      <w:r w:rsidRPr="001A75A9">
        <w:t xml:space="preserve">ariations to </w:t>
      </w:r>
      <w:r>
        <w:t>o</w:t>
      </w:r>
      <w:r w:rsidRPr="001A75A9">
        <w:t xml:space="preserve">utcomes since </w:t>
      </w:r>
      <w:r>
        <w:rPr>
          <w:lang w:val="en-AU"/>
        </w:rPr>
        <w:br/>
      </w:r>
      <w:r>
        <w:t>20</w:t>
      </w:r>
      <w:r>
        <w:rPr>
          <w:lang w:val="en-AU"/>
        </w:rPr>
        <w:t>18</w:t>
      </w:r>
      <w:r>
        <w:noBreakHyphen/>
      </w:r>
      <w:r>
        <w:rPr>
          <w:lang w:val="en-AU"/>
        </w:rPr>
        <w:t xml:space="preserve">19 </w:t>
      </w:r>
      <w:r w:rsidRPr="001A75A9">
        <w:t>Budget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9"/>
        <w:gridCol w:w="944"/>
        <w:gridCol w:w="946"/>
        <w:gridCol w:w="946"/>
        <w:gridCol w:w="946"/>
        <w:gridCol w:w="946"/>
      </w:tblGrid>
      <w:tr w:rsidR="00DF50F4" w:rsidRPr="00C9781F" w:rsidTr="00F633F1">
        <w:trPr>
          <w:trHeight w:val="397"/>
        </w:trPr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0F4" w:rsidRPr="0002105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Program impacted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2019-20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2020-21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2021-22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DF50F4" w:rsidRPr="00021056" w:rsidTr="00E84DCA">
        <w:trPr>
          <w:trHeight w:val="22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3A98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OUTCOME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021056" w:rsidTr="00E84DCA">
        <w:trPr>
          <w:trHeight w:val="22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DEPARTMENTAL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50F4" w:rsidRPr="00021056" w:rsidTr="00E84DCA">
        <w:trPr>
          <w:trHeight w:val="22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Annual appropriations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50F4" w:rsidRPr="00021056" w:rsidTr="004B60B9">
        <w:trPr>
          <w:trHeight w:val="39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ind w:left="14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Assistance for Victims of Child Sexual Abuse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   362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   708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   712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   717 </w:t>
            </w:r>
          </w:p>
        </w:tc>
      </w:tr>
      <w:tr w:rsidR="00DF50F4" w:rsidRPr="00021056" w:rsidTr="004B60B9">
        <w:trPr>
          <w:trHeight w:val="39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ind w:left="14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Strengthening Enforcement Capability for Corporate Crime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   228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5,432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12,033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10,346 </w:t>
            </w:r>
          </w:p>
        </w:tc>
      </w:tr>
      <w:tr w:rsidR="00DF50F4" w:rsidRPr="00021056" w:rsidTr="004B60B9">
        <w:trPr>
          <w:trHeight w:val="595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ind w:left="14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 xml:space="preserve">Strengthening the Integrity of Welfare Payments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</w:t>
            </w: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 xml:space="preserve">extension and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mendments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0C91"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Pr="000210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2,467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2,484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DF50F4" w:rsidRPr="00021056" w:rsidTr="00E84DCA">
        <w:trPr>
          <w:trHeight w:val="22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ind w:left="142" w:hanging="142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Variations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021056" w:rsidTr="00E84DCA">
        <w:trPr>
          <w:trHeight w:val="22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ind w:left="142" w:hanging="14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Net decrease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   (56)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   (56)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   (56)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056">
              <w:rPr>
                <w:rFonts w:ascii="Arial" w:hAnsi="Arial" w:cs="Arial"/>
                <w:sz w:val="16"/>
                <w:szCs w:val="16"/>
              </w:rPr>
              <w:t xml:space="preserve">          (56)</w:t>
            </w:r>
          </w:p>
        </w:tc>
      </w:tr>
      <w:tr w:rsidR="00DF50F4" w:rsidRPr="00021056" w:rsidTr="00E84DCA">
        <w:trPr>
          <w:trHeight w:val="22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impact on appropriations for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1 (departmental)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2105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534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8,551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15,173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11,007 </w:t>
            </w:r>
          </w:p>
        </w:tc>
      </w:tr>
      <w:tr w:rsidR="00DF50F4" w:rsidRPr="00021056" w:rsidTr="00E84DCA">
        <w:trPr>
          <w:trHeight w:val="227"/>
        </w:trPr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net impact on appropriations </w:t>
            </w:r>
            <w:r w:rsidRPr="000210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 Outcome 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0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2105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534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2105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8,551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2105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15,173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2105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2105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11,007 </w:t>
            </w:r>
          </w:p>
        </w:tc>
      </w:tr>
    </w:tbl>
    <w:p w:rsidR="00DF50F4" w:rsidRDefault="00DF50F4" w:rsidP="00DF50F4">
      <w:pPr>
        <w:pStyle w:val="TableGraphic"/>
      </w:pPr>
    </w:p>
    <w:p w:rsidR="00DF50F4" w:rsidRPr="00564C0F" w:rsidRDefault="00DF50F4" w:rsidP="00DF50F4">
      <w:pPr>
        <w:pStyle w:val="Heading3"/>
        <w:ind w:right="-156"/>
      </w:pPr>
      <w:r>
        <w:rPr>
          <w:lang w:val="en-AU"/>
        </w:rPr>
        <w:t>1</w:t>
      </w:r>
      <w:r>
        <w:t>.</w:t>
      </w:r>
      <w:r>
        <w:rPr>
          <w:lang w:val="en-AU"/>
        </w:rPr>
        <w:t>5</w:t>
      </w:r>
      <w:r>
        <w:tab/>
      </w:r>
      <w:r w:rsidRPr="00564C0F">
        <w:t>Breakdown of additional estimates by appropriation bill</w:t>
      </w:r>
    </w:p>
    <w:p w:rsidR="00DF50F4" w:rsidRPr="00564C0F" w:rsidRDefault="00DF50F4" w:rsidP="00DF50F4">
      <w:r>
        <w:t>Table 1.4</w:t>
      </w:r>
      <w:r w:rsidRPr="00564C0F">
        <w:t xml:space="preserve"> detail</w:t>
      </w:r>
      <w:r>
        <w:t>s</w:t>
      </w:r>
      <w:r w:rsidRPr="00564C0F">
        <w:t xml:space="preserve"> the Additional Estimates sought for</w:t>
      </w:r>
      <w:r>
        <w:t xml:space="preserve"> the DPP</w:t>
      </w:r>
      <w:r w:rsidRPr="00564C0F">
        <w:t xml:space="preserve"> through </w:t>
      </w:r>
      <w:r w:rsidRPr="00C9781F">
        <w:t>Appropriation Bill No. 3</w:t>
      </w:r>
      <w:r w:rsidRPr="00BE3A98">
        <w:t>.</w:t>
      </w:r>
    </w:p>
    <w:p w:rsidR="00DF50F4" w:rsidRPr="00564C0F" w:rsidRDefault="00DF50F4" w:rsidP="00DF50F4">
      <w:pPr>
        <w:pStyle w:val="TableHeading"/>
        <w:rPr>
          <w:lang w:val="en-AU"/>
        </w:rPr>
      </w:pPr>
      <w:r>
        <w:t>Table 1.</w:t>
      </w:r>
      <w:r>
        <w:rPr>
          <w:lang w:val="en-AU"/>
        </w:rPr>
        <w:t>4</w:t>
      </w:r>
      <w:r w:rsidRPr="00564C0F">
        <w:t>: Appropriation Bill No. 3 201</w:t>
      </w:r>
      <w:r>
        <w:rPr>
          <w:lang w:val="en-AU"/>
        </w:rPr>
        <w:t>8-19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1"/>
        <w:gridCol w:w="1005"/>
        <w:gridCol w:w="942"/>
        <w:gridCol w:w="942"/>
        <w:gridCol w:w="1069"/>
        <w:gridCol w:w="1038"/>
      </w:tblGrid>
      <w:tr w:rsidR="00DF50F4" w:rsidRPr="001B6AD7" w:rsidTr="00DB6503">
        <w:trPr>
          <w:trHeight w:val="599"/>
        </w:trPr>
        <w:tc>
          <w:tcPr>
            <w:tcW w:w="18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0F4" w:rsidRPr="001B6AD7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2017-18</w:t>
            </w:r>
            <w:r w:rsidRPr="00C9781F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br/>
              <w:t>Available</w:t>
            </w:r>
            <w:r w:rsidRPr="00C9781F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Budget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Revised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Additional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stimates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Reduced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stimates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DF50F4" w:rsidRPr="001B6AD7" w:rsidTr="00E84DCA">
        <w:trPr>
          <w:trHeight w:val="227"/>
        </w:trPr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DEPARTMENTAL PROGRAMS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50F4" w:rsidRPr="001B6AD7" w:rsidTr="00E84DCA">
        <w:trPr>
          <w:trHeight w:val="227"/>
        </w:trPr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50F4" w:rsidRPr="001B6AD7" w:rsidTr="00E84DCA">
        <w:trPr>
          <w:trHeight w:val="227"/>
        </w:trPr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>Contribute to a fair, safe and just society by delivering an effective, independent prosecution service in accordance with the</w:t>
            </w:r>
            <w:r w:rsidRPr="001B6AD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9781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Prosecution Policy of the Commonwealth.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 xml:space="preserve">81,540 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 xml:space="preserve">78,066 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 xml:space="preserve">78,600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 xml:space="preserve">590 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color w:val="000000"/>
                <w:sz w:val="16"/>
                <w:szCs w:val="16"/>
              </w:rPr>
              <w:t>(56)</w:t>
            </w:r>
          </w:p>
        </w:tc>
      </w:tr>
      <w:tr w:rsidR="00DF50F4" w:rsidRPr="001B6AD7" w:rsidTr="00E84DCA">
        <w:trPr>
          <w:trHeight w:val="227"/>
        </w:trPr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departmental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81,540 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78,066 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78,600 </w:t>
            </w: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590 </w:t>
            </w:r>
          </w:p>
        </w:tc>
        <w:tc>
          <w:tcPr>
            <w:tcW w:w="6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1B6AD7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6A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(56)</w:t>
            </w:r>
          </w:p>
        </w:tc>
      </w:tr>
    </w:tbl>
    <w:p w:rsidR="00DF50F4" w:rsidRPr="0076658F" w:rsidRDefault="00DF50F4" w:rsidP="00DF50F4">
      <w:pPr>
        <w:pStyle w:val="ChartandTableFootnoteAlpha"/>
        <w:numPr>
          <w:ilvl w:val="0"/>
          <w:numId w:val="0"/>
        </w:numPr>
        <w:ind w:left="426" w:hanging="426"/>
        <w:jc w:val="left"/>
      </w:pPr>
      <w:r w:rsidRPr="00541C3C">
        <w:t xml:space="preserve">Note: 2017-18 available appropriation is included </w:t>
      </w:r>
      <w:r>
        <w:t>as a comparison with this year’s appropriation</w:t>
      </w:r>
      <w:r w:rsidRPr="0076658F">
        <w:t>.</w:t>
      </w:r>
    </w:p>
    <w:p w:rsidR="00DF50F4" w:rsidRDefault="00DF50F4" w:rsidP="00DF50F4">
      <w:pPr>
        <w:pStyle w:val="Heading2-TOC"/>
      </w:pPr>
      <w:r>
        <w:br w:type="page"/>
      </w:r>
      <w:r w:rsidRPr="00E41681">
        <w:t>Section 2: Revisions to outcomes and planned performance</w:t>
      </w:r>
    </w:p>
    <w:p w:rsidR="00DF50F4" w:rsidRDefault="00DF50F4" w:rsidP="00DF50F4">
      <w:pPr>
        <w:pStyle w:val="Heading3"/>
        <w:ind w:left="708" w:hanging="708"/>
        <w:rPr>
          <w:lang w:val="en-AU"/>
        </w:rPr>
      </w:pPr>
      <w:r>
        <w:t>2.</w:t>
      </w:r>
      <w:r>
        <w:rPr>
          <w:lang w:val="en-AU"/>
        </w:rPr>
        <w:t>1</w:t>
      </w:r>
      <w:r>
        <w:tab/>
      </w:r>
      <w:r>
        <w:rPr>
          <w:lang w:val="en-AU"/>
        </w:rPr>
        <w:t>budgeted expenses and performance for outcome 1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13"/>
      </w:tblGrid>
      <w:tr w:rsidR="00DF50F4" w:rsidRPr="005E6F2B" w:rsidTr="00DB6503">
        <w:tc>
          <w:tcPr>
            <w:tcW w:w="7713" w:type="dxa"/>
            <w:shd w:val="clear" w:color="auto" w:fill="E6E6E6"/>
          </w:tcPr>
          <w:p w:rsidR="00DF50F4" w:rsidRPr="005E6F2B" w:rsidRDefault="00DF50F4" w:rsidP="00DB6503">
            <w:pPr>
              <w:pStyle w:val="TableColumnHeadingLeft"/>
              <w:jc w:val="left"/>
            </w:pPr>
            <w:r w:rsidRPr="00F862B3">
              <w:rPr>
                <w:sz w:val="20"/>
              </w:rPr>
              <w:t xml:space="preserve">Outcome </w:t>
            </w:r>
            <w:r>
              <w:rPr>
                <w:sz w:val="20"/>
              </w:rPr>
              <w:t>1</w:t>
            </w:r>
            <w:r w:rsidRPr="00F862B3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Contribute to a fair, safe and just society by delivering an effective, independent prosecution service in accordance with the </w:t>
            </w:r>
            <w:r w:rsidRPr="00C9781F">
              <w:rPr>
                <w:sz w:val="20"/>
              </w:rPr>
              <w:t>Prosecution Policy of the Commonwealth</w:t>
            </w:r>
            <w:r>
              <w:rPr>
                <w:sz w:val="20"/>
              </w:rPr>
              <w:t>.</w:t>
            </w:r>
          </w:p>
        </w:tc>
      </w:tr>
    </w:tbl>
    <w:p w:rsidR="00DF50F4" w:rsidRPr="005E6F2B" w:rsidRDefault="00DF50F4" w:rsidP="00DF50F4">
      <w:pPr>
        <w:pStyle w:val="NoSpacing"/>
      </w:pPr>
    </w:p>
    <w:p w:rsidR="00DF50F4" w:rsidRPr="00446612" w:rsidRDefault="00DF50F4" w:rsidP="00DF50F4">
      <w:pPr>
        <w:pStyle w:val="Heading5"/>
      </w:pPr>
      <w:r w:rsidRPr="00446612">
        <w:t xml:space="preserve">Budgeted expenses for Outcome </w:t>
      </w:r>
      <w:r>
        <w:rPr>
          <w:lang w:val="en-AU"/>
        </w:rPr>
        <w:t>1</w:t>
      </w:r>
    </w:p>
    <w:p w:rsidR="00DF50F4" w:rsidRDefault="00DF50F4" w:rsidP="00DF50F4">
      <w:r>
        <w:t>Table 2.1</w:t>
      </w:r>
      <w:r w:rsidRPr="00950281">
        <w:t xml:space="preserve"> shows how much the </w:t>
      </w:r>
      <w:r>
        <w:t>DPP</w:t>
      </w:r>
      <w:r w:rsidRPr="00950281">
        <w:t xml:space="preserve"> intends to spend (on an accrual basis) on achieving </w:t>
      </w:r>
      <w:r>
        <w:t>O</w:t>
      </w:r>
      <w:r w:rsidRPr="00950281">
        <w:t>utcome</w:t>
      </w:r>
      <w:r>
        <w:t xml:space="preserve"> 1</w:t>
      </w:r>
      <w:r w:rsidRPr="00950281">
        <w:t xml:space="preserve">, broken down by program and </w:t>
      </w:r>
      <w:r>
        <w:t>d</w:t>
      </w:r>
      <w:r w:rsidRPr="00950281">
        <w:t xml:space="preserve">epartmental funding sources. </w:t>
      </w:r>
    </w:p>
    <w:p w:rsidR="00DF50F4" w:rsidRDefault="00DF50F4" w:rsidP="00DF50F4">
      <w:pPr>
        <w:pStyle w:val="TableHeading"/>
        <w:rPr>
          <w:lang w:val="en-AU"/>
        </w:rPr>
      </w:pPr>
      <w:r w:rsidRPr="00D93D96">
        <w:t>Table 2.1</w:t>
      </w:r>
      <w:r w:rsidR="00C963A6">
        <w:rPr>
          <w:lang w:val="en-AU"/>
        </w:rPr>
        <w:t>:</w:t>
      </w:r>
      <w:r w:rsidRPr="00D93D96">
        <w:t xml:space="preserve"> Budgeted expenses</w:t>
      </w:r>
      <w:r>
        <w:rPr>
          <w:lang w:val="en-AU"/>
        </w:rPr>
        <w:t xml:space="preserve"> for</w:t>
      </w:r>
      <w:r w:rsidRPr="00D93D96">
        <w:t xml:space="preserve"> Outcome </w:t>
      </w:r>
      <w:r>
        <w:rPr>
          <w:lang w:val="en-AU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5"/>
        <w:gridCol w:w="970"/>
        <w:gridCol w:w="988"/>
        <w:gridCol w:w="888"/>
        <w:gridCol w:w="888"/>
        <w:gridCol w:w="888"/>
      </w:tblGrid>
      <w:tr w:rsidR="00DF50F4" w:rsidRPr="00FA4ADE" w:rsidTr="00A953E0">
        <w:trPr>
          <w:trHeight w:val="926"/>
        </w:trPr>
        <w:tc>
          <w:tcPr>
            <w:tcW w:w="208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50F4" w:rsidRPr="00FA4AD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2017-18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Actual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expenses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Revised estimated expenses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 xml:space="preserve">2019-20 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2020-21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2021-22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</w:tr>
      <w:tr w:rsidR="00DF50F4" w:rsidRPr="00FA4ADE" w:rsidTr="00E84DCA">
        <w:trPr>
          <w:trHeight w:val="227"/>
        </w:trPr>
        <w:tc>
          <w:tcPr>
            <w:tcW w:w="2084" w:type="pct"/>
            <w:tcBorders>
              <w:left w:val="nil"/>
              <w:right w:val="nil"/>
            </w:tcBorders>
            <w:shd w:val="clear" w:color="000000" w:fill="auto"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sz w:val="16"/>
                <w:szCs w:val="16"/>
              </w:rPr>
              <w:t>Program 1.1: An independent service to prosecute alleged offences against the criminal law of the Commonwealth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nil"/>
            </w:tcBorders>
            <w:shd w:val="pct10" w:color="000000" w:fill="auto"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F50F4" w:rsidRPr="00FA4ADE" w:rsidTr="00E84DCA">
        <w:trPr>
          <w:trHeight w:val="227"/>
        </w:trPr>
        <w:tc>
          <w:tcPr>
            <w:tcW w:w="20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>Departmental expenses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A4ADE" w:rsidTr="00E84DCA">
        <w:trPr>
          <w:trHeight w:val="227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ind w:left="19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>Departmental appropriation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color w:val="000000"/>
                <w:sz w:val="16"/>
                <w:szCs w:val="16"/>
              </w:rPr>
              <w:t xml:space="preserve">76,347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76,482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82,304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90,466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88,658 </w:t>
            </w:r>
          </w:p>
        </w:tc>
      </w:tr>
      <w:tr w:rsidR="00DF50F4" w:rsidRPr="00FA4ADE" w:rsidTr="00E84DCA">
        <w:trPr>
          <w:trHeight w:val="227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ind w:left="19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>s74 retained revenue receipts (a)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color w:val="000000"/>
                <w:sz w:val="16"/>
                <w:szCs w:val="16"/>
              </w:rPr>
              <w:t xml:space="preserve">7,317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9,224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5,875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5,887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5,586 </w:t>
            </w:r>
          </w:p>
        </w:tc>
      </w:tr>
      <w:tr w:rsidR="00DF50F4" w:rsidRPr="00FA4ADE" w:rsidTr="00E84DCA">
        <w:trPr>
          <w:trHeight w:val="227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ind w:left="19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Expenses </w:t>
            </w:r>
            <w:r>
              <w:rPr>
                <w:rFonts w:ascii="Arial" w:hAnsi="Arial" w:cs="Arial"/>
                <w:sz w:val="16"/>
                <w:szCs w:val="16"/>
              </w:rPr>
              <w:t>not requiring appropriation in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A4ADE">
              <w:rPr>
                <w:rFonts w:ascii="Arial" w:hAnsi="Arial" w:cs="Arial"/>
                <w:sz w:val="16"/>
                <w:szCs w:val="16"/>
              </w:rPr>
              <w:t>the Budget year (b)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color w:val="000000"/>
                <w:sz w:val="16"/>
                <w:szCs w:val="16"/>
              </w:rPr>
              <w:t xml:space="preserve">3,983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4,832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5,053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4,548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ADE">
              <w:rPr>
                <w:rFonts w:ascii="Arial" w:hAnsi="Arial" w:cs="Arial"/>
                <w:sz w:val="16"/>
                <w:szCs w:val="16"/>
              </w:rPr>
              <w:t xml:space="preserve">4,666 </w:t>
            </w:r>
          </w:p>
        </w:tc>
      </w:tr>
      <w:tr w:rsidR="00DF50F4" w:rsidRPr="00FA4ADE" w:rsidTr="00E84DCA">
        <w:trPr>
          <w:trHeight w:val="227"/>
        </w:trPr>
        <w:tc>
          <w:tcPr>
            <w:tcW w:w="20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sz w:val="16"/>
                <w:szCs w:val="16"/>
              </w:rPr>
              <w:t>Total expenses for Outcome 1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87,647 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90,538 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93,232 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100,901 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98,910 </w:t>
            </w:r>
          </w:p>
        </w:tc>
      </w:tr>
      <w:tr w:rsidR="00DF50F4" w:rsidRPr="00FA4ADE" w:rsidTr="00DB6503">
        <w:trPr>
          <w:trHeight w:val="225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0F4" w:rsidRPr="00FA4AD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A4ADE" w:rsidTr="00DB6503">
        <w:trPr>
          <w:trHeight w:val="225"/>
        </w:trPr>
        <w:tc>
          <w:tcPr>
            <w:tcW w:w="20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0F4" w:rsidRPr="00FA4AD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2017-18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2018-19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A4ADE" w:rsidTr="00DB6503">
        <w:trPr>
          <w:trHeight w:val="225"/>
        </w:trPr>
        <w:tc>
          <w:tcPr>
            <w:tcW w:w="20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50F4" w:rsidRPr="00FA4AD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Average staffing level (number)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color w:val="000000"/>
                <w:sz w:val="16"/>
                <w:szCs w:val="16"/>
              </w:rPr>
              <w:t xml:space="preserve">379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ADE">
              <w:rPr>
                <w:rFonts w:ascii="Arial" w:hAnsi="Arial" w:cs="Arial"/>
                <w:color w:val="000000"/>
                <w:sz w:val="16"/>
                <w:szCs w:val="16"/>
              </w:rPr>
              <w:t xml:space="preserve">390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A4AD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DF50F4" w:rsidRPr="00446612" w:rsidRDefault="00DF50F4" w:rsidP="00345F78">
      <w:pPr>
        <w:pStyle w:val="ChartandTableFootnote"/>
        <w:tabs>
          <w:tab w:val="clear" w:pos="454"/>
        </w:tabs>
        <w:ind w:left="0" w:firstLine="0"/>
        <w:jc w:val="left"/>
      </w:pPr>
      <w:r>
        <w:t xml:space="preserve">Note: </w:t>
      </w:r>
      <w:r w:rsidRPr="00446612">
        <w:t xml:space="preserve">Departmental appropriation splits and totals are indicative estimates </w:t>
      </w:r>
      <w:r>
        <w:t xml:space="preserve">and may change in the course of </w:t>
      </w:r>
      <w:r w:rsidRPr="00446612">
        <w:t>the budget year as government priorities change.</w:t>
      </w:r>
    </w:p>
    <w:p w:rsidR="00DF50F4" w:rsidRPr="00950281" w:rsidRDefault="00DF50F4" w:rsidP="00404596">
      <w:pPr>
        <w:pStyle w:val="ChartandTableFootnoteAlpha"/>
        <w:numPr>
          <w:ilvl w:val="0"/>
          <w:numId w:val="45"/>
        </w:numPr>
        <w:tabs>
          <w:tab w:val="clear" w:pos="397"/>
        </w:tabs>
        <w:spacing w:after="0"/>
        <w:ind w:left="284" w:hanging="284"/>
        <w:jc w:val="left"/>
      </w:pPr>
      <w:r w:rsidRPr="00950281">
        <w:t>E</w:t>
      </w:r>
      <w:r>
        <w:t>stimated e</w:t>
      </w:r>
      <w:r w:rsidRPr="00950281">
        <w:t xml:space="preserve">xpenses </w:t>
      </w:r>
      <w:r>
        <w:t xml:space="preserve">incurred in relation to receipts retained under section 74 of the </w:t>
      </w:r>
      <w:r w:rsidRPr="00A953E0">
        <w:rPr>
          <w:i/>
        </w:rPr>
        <w:t>Public Governance, Performance and Accountability Act 2013</w:t>
      </w:r>
      <w:r w:rsidRPr="006922DC">
        <w:t>.</w:t>
      </w:r>
    </w:p>
    <w:p w:rsidR="00DF50F4" w:rsidRPr="00950281" w:rsidRDefault="00DF50F4" w:rsidP="00DF50F4">
      <w:pPr>
        <w:pStyle w:val="ChartandTableFootnoteAlpha"/>
        <w:tabs>
          <w:tab w:val="clear" w:pos="397"/>
        </w:tabs>
        <w:spacing w:after="0"/>
        <w:ind w:left="284" w:hanging="284"/>
        <w:jc w:val="left"/>
      </w:pPr>
      <w:r w:rsidRPr="00950281">
        <w:t xml:space="preserve">Expenses not requiring appropriation in the </w:t>
      </w:r>
      <w:r w:rsidR="00404596">
        <w:t>b</w:t>
      </w:r>
      <w:r w:rsidRPr="00950281">
        <w:t xml:space="preserve">udget year are made up of </w:t>
      </w:r>
      <w:r>
        <w:t xml:space="preserve">services received free of charge, </w:t>
      </w:r>
      <w:r w:rsidRPr="00950281">
        <w:t>depreciation</w:t>
      </w:r>
      <w:r>
        <w:t xml:space="preserve"> and </w:t>
      </w:r>
      <w:r w:rsidRPr="00950281">
        <w:t>amortisation expenses</w:t>
      </w:r>
      <w:r>
        <w:t>, and write-down of debt liabilities.</w:t>
      </w:r>
    </w:p>
    <w:p w:rsidR="00DF50F4" w:rsidRDefault="00DF50F4" w:rsidP="00DF50F4">
      <w:pPr>
        <w:pStyle w:val="TableHeading"/>
      </w:pPr>
    </w:p>
    <w:p w:rsidR="00DF50F4" w:rsidRPr="00446612" w:rsidRDefault="00DF50F4" w:rsidP="00DF50F4">
      <w:pPr>
        <w:pStyle w:val="Heading5"/>
      </w:pPr>
      <w:r>
        <w:rPr>
          <w:lang w:val="en-AU"/>
        </w:rPr>
        <w:t>Performance criteria</w:t>
      </w:r>
      <w:r>
        <w:t xml:space="preserve"> for Outcome 1</w:t>
      </w:r>
    </w:p>
    <w:p w:rsidR="00DF50F4" w:rsidRPr="00D5737A" w:rsidRDefault="00DF50F4" w:rsidP="00DF50F4">
      <w:pPr>
        <w:jc w:val="left"/>
      </w:pPr>
      <w:r>
        <w:t>There are no changes to the performance information for Outcome 1 reported in the 2018-19 Portfolio Budget Statements.</w:t>
      </w:r>
    </w:p>
    <w:p w:rsidR="00DF50F4" w:rsidRPr="00E41681" w:rsidRDefault="00DF50F4" w:rsidP="00DF50F4">
      <w:pPr>
        <w:pStyle w:val="Heading2-TOC"/>
      </w:pPr>
      <w:r>
        <w:br w:type="page"/>
      </w:r>
      <w:r w:rsidRPr="00E41681">
        <w:t>Section 3: Special account flows and budgeted financial statements</w:t>
      </w:r>
    </w:p>
    <w:p w:rsidR="00DF50F4" w:rsidRPr="004D3E2B" w:rsidRDefault="00DF50F4" w:rsidP="00DF50F4">
      <w:pPr>
        <w:pStyle w:val="Heading3"/>
      </w:pPr>
      <w:r w:rsidRPr="004D3E2B">
        <w:t>3.1</w:t>
      </w:r>
      <w:r w:rsidRPr="004D3E2B">
        <w:tab/>
        <w:t>Special account</w:t>
      </w:r>
      <w:r>
        <w:rPr>
          <w:lang w:val="en-AU"/>
        </w:rPr>
        <w:t xml:space="preserve"> </w:t>
      </w:r>
      <w:r w:rsidRPr="004D3E2B">
        <w:t>flows</w:t>
      </w:r>
    </w:p>
    <w:p w:rsidR="00DF50F4" w:rsidRDefault="00DF50F4" w:rsidP="00DF50F4">
      <w:pPr>
        <w:pStyle w:val="Heading4"/>
      </w:pPr>
      <w:r>
        <w:rPr>
          <w:lang w:val="en-AU"/>
        </w:rPr>
        <w:t xml:space="preserve">3.1.1 </w:t>
      </w:r>
      <w:r>
        <w:rPr>
          <w:lang w:val="en-AU"/>
        </w:rPr>
        <w:tab/>
      </w:r>
      <w:r w:rsidRPr="004928FF">
        <w:t xml:space="preserve">Estimates of </w:t>
      </w:r>
      <w:r>
        <w:t>s</w:t>
      </w:r>
      <w:r w:rsidRPr="004928FF">
        <w:t xml:space="preserve">pecial </w:t>
      </w:r>
      <w:r>
        <w:t>a</w:t>
      </w:r>
      <w:r w:rsidRPr="004928FF">
        <w:t xml:space="preserve">ccount </w:t>
      </w:r>
      <w:r>
        <w:t>f</w:t>
      </w:r>
      <w:r w:rsidRPr="004928FF">
        <w:t>lows</w:t>
      </w:r>
    </w:p>
    <w:p w:rsidR="00DF50F4" w:rsidRDefault="00DF50F4" w:rsidP="00DF50F4">
      <w:r>
        <w:t>The DPP has no special accounts.</w:t>
      </w:r>
    </w:p>
    <w:p w:rsidR="00DF50F4" w:rsidRDefault="00DF50F4" w:rsidP="00DF50F4">
      <w:pPr>
        <w:pStyle w:val="Heading3"/>
      </w:pPr>
      <w:r w:rsidRPr="005554F9">
        <w:t>3.2</w:t>
      </w:r>
      <w:r>
        <w:tab/>
        <w:t>Budgeted financial statements</w:t>
      </w:r>
    </w:p>
    <w:p w:rsidR="00DF50F4" w:rsidRPr="004928FF" w:rsidRDefault="00DF50F4" w:rsidP="00DF50F4">
      <w:pPr>
        <w:pStyle w:val="Heading4"/>
      </w:pPr>
      <w:r w:rsidRPr="00EC73D1">
        <w:t>3.2</w:t>
      </w:r>
      <w:r w:rsidRPr="00EC73D1">
        <w:rPr>
          <w:lang w:val="en-AU"/>
        </w:rPr>
        <w:t>.1</w:t>
      </w:r>
      <w:r>
        <w:tab/>
      </w:r>
      <w:r w:rsidRPr="004928FF">
        <w:t xml:space="preserve">Analysis of </w:t>
      </w:r>
      <w:r>
        <w:t>b</w:t>
      </w:r>
      <w:r w:rsidRPr="004928FF">
        <w:t xml:space="preserve">udgeted </w:t>
      </w:r>
      <w:r>
        <w:t>f</w:t>
      </w:r>
      <w:r w:rsidRPr="004928FF">
        <w:t xml:space="preserve">inancial </w:t>
      </w:r>
      <w:r>
        <w:t>s</w:t>
      </w:r>
      <w:r w:rsidRPr="004928FF">
        <w:t>tatements</w:t>
      </w:r>
    </w:p>
    <w:p w:rsidR="00DF50F4" w:rsidRDefault="00DF50F4" w:rsidP="00DF50F4">
      <w:pPr>
        <w:pStyle w:val="ExampleText"/>
        <w:jc w:val="both"/>
        <w:rPr>
          <w:i w:val="0"/>
          <w:color w:val="auto"/>
        </w:rPr>
      </w:pPr>
      <w:r w:rsidRPr="00E510E8">
        <w:rPr>
          <w:i w:val="0"/>
          <w:color w:val="auto"/>
        </w:rPr>
        <w:t>Changes to the D</w:t>
      </w:r>
      <w:r>
        <w:rPr>
          <w:i w:val="0"/>
          <w:color w:val="auto"/>
        </w:rPr>
        <w:t>PP</w:t>
      </w:r>
      <w:r w:rsidRPr="00E510E8">
        <w:rPr>
          <w:i w:val="0"/>
          <w:color w:val="auto"/>
        </w:rPr>
        <w:t>’s operating revenue since the 201</w:t>
      </w:r>
      <w:r>
        <w:rPr>
          <w:i w:val="0"/>
          <w:color w:val="auto"/>
        </w:rPr>
        <w:t>8</w:t>
      </w:r>
      <w:r w:rsidRPr="00E510E8">
        <w:rPr>
          <w:i w:val="0"/>
          <w:color w:val="auto"/>
        </w:rPr>
        <w:t>-1</w:t>
      </w:r>
      <w:r>
        <w:rPr>
          <w:i w:val="0"/>
          <w:color w:val="auto"/>
        </w:rPr>
        <w:t>9</w:t>
      </w:r>
      <w:r w:rsidRPr="00E510E8">
        <w:rPr>
          <w:i w:val="0"/>
          <w:color w:val="auto"/>
        </w:rPr>
        <w:t xml:space="preserve"> Portfolio Budget Statements are due to:</w:t>
      </w:r>
    </w:p>
    <w:p w:rsidR="00DF50F4" w:rsidRDefault="00DF50F4" w:rsidP="00DB6503">
      <w:pPr>
        <w:pStyle w:val="ExampleText"/>
        <w:numPr>
          <w:ilvl w:val="0"/>
          <w:numId w:val="38"/>
        </w:numPr>
        <w:rPr>
          <w:i w:val="0"/>
          <w:color w:val="auto"/>
        </w:rPr>
      </w:pPr>
      <w:r>
        <w:rPr>
          <w:i w:val="0"/>
          <w:color w:val="auto"/>
        </w:rPr>
        <w:t>additional funding to expand the DPP’s Witness Assistance Service, providing information and support services to victims of child sexual abuse and their families.</w:t>
      </w:r>
    </w:p>
    <w:p w:rsidR="00DF50F4" w:rsidRDefault="00DF50F4" w:rsidP="00DB6503">
      <w:pPr>
        <w:pStyle w:val="ExampleText"/>
        <w:numPr>
          <w:ilvl w:val="0"/>
          <w:numId w:val="38"/>
        </w:numPr>
        <w:rPr>
          <w:i w:val="0"/>
          <w:color w:val="auto"/>
        </w:rPr>
      </w:pPr>
      <w:r>
        <w:rPr>
          <w:i w:val="0"/>
          <w:color w:val="auto"/>
        </w:rPr>
        <w:t>additional funding to pursue a greater number of prosecutions of those responsible for misconduct in the Banking, Superannuation and Financial Services Industry.</w:t>
      </w:r>
    </w:p>
    <w:p w:rsidR="00DF50F4" w:rsidRDefault="00DF50F4" w:rsidP="00DB6503">
      <w:pPr>
        <w:pStyle w:val="ExampleText"/>
        <w:numPr>
          <w:ilvl w:val="0"/>
          <w:numId w:val="38"/>
        </w:numPr>
        <w:rPr>
          <w:i w:val="0"/>
          <w:color w:val="auto"/>
        </w:rPr>
      </w:pPr>
      <w:r>
        <w:rPr>
          <w:i w:val="0"/>
          <w:color w:val="auto"/>
        </w:rPr>
        <w:t>additional funding for prosecutions resulting from criminal and serious non-compliance in the social security payments system.</w:t>
      </w:r>
    </w:p>
    <w:p w:rsidR="00DF50F4" w:rsidRPr="00E510E8" w:rsidRDefault="00DF50F4" w:rsidP="00DB6503">
      <w:pPr>
        <w:pStyle w:val="ExampleText"/>
        <w:numPr>
          <w:ilvl w:val="0"/>
          <w:numId w:val="38"/>
        </w:numPr>
        <w:rPr>
          <w:i w:val="0"/>
          <w:color w:val="auto"/>
        </w:rPr>
      </w:pPr>
      <w:r>
        <w:rPr>
          <w:i w:val="0"/>
          <w:color w:val="auto"/>
        </w:rPr>
        <w:t xml:space="preserve">reallocation of funding and resources from the DPP to the Attorney-General’s Department to support the transfer of responsibility for mutual legal assistance matters. </w:t>
      </w:r>
    </w:p>
    <w:p w:rsidR="00DF50F4" w:rsidRPr="004928FF" w:rsidRDefault="00DF50F4" w:rsidP="00DF50F4">
      <w:pPr>
        <w:pStyle w:val="Heading4"/>
      </w:pPr>
      <w:r>
        <w:br w:type="page"/>
      </w:r>
      <w:r w:rsidRPr="00EC73D1">
        <w:t>3.2.2</w:t>
      </w:r>
      <w:r>
        <w:tab/>
      </w:r>
      <w:r w:rsidRPr="004928FF">
        <w:t xml:space="preserve">Budgeted </w:t>
      </w:r>
      <w:r>
        <w:t>f</w:t>
      </w:r>
      <w:r w:rsidRPr="004928FF">
        <w:t xml:space="preserve">inancial </w:t>
      </w:r>
      <w:r>
        <w:t>s</w:t>
      </w:r>
      <w:r w:rsidRPr="004928FF">
        <w:t>tatements</w:t>
      </w:r>
    </w:p>
    <w:p w:rsidR="00DF50F4" w:rsidRDefault="00DF50F4" w:rsidP="00DF50F4">
      <w:pPr>
        <w:pStyle w:val="TableHeading"/>
        <w:spacing w:before="0"/>
        <w:rPr>
          <w:snapToGrid w:val="0"/>
          <w:lang w:val="en-AU"/>
        </w:rPr>
      </w:pPr>
      <w:r>
        <w:rPr>
          <w:snapToGrid w:val="0"/>
        </w:rPr>
        <w:t>Table 3.2:</w:t>
      </w:r>
      <w:r w:rsidRPr="00014438">
        <w:rPr>
          <w:snapToGrid w:val="0"/>
        </w:rPr>
        <w:t xml:space="preserve"> </w:t>
      </w:r>
      <w:r>
        <w:rPr>
          <w:snapToGrid w:val="0"/>
        </w:rPr>
        <w:t>C</w:t>
      </w:r>
      <w:r w:rsidRPr="00014438">
        <w:rPr>
          <w:snapToGrid w:val="0"/>
        </w:rPr>
        <w:t>omprehensive income statement (showing net cost of services)</w:t>
      </w:r>
      <w:r>
        <w:rPr>
          <w:snapToGrid w:val="0"/>
          <w:lang w:val="en-AU"/>
        </w:rPr>
        <w:br/>
        <w:t>for the period ended 30 June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72"/>
        <w:gridCol w:w="851"/>
        <w:gridCol w:w="851"/>
        <w:gridCol w:w="992"/>
        <w:gridCol w:w="991"/>
        <w:gridCol w:w="870"/>
      </w:tblGrid>
      <w:tr w:rsidR="00DF50F4" w:rsidRPr="00C07DEE" w:rsidTr="00F633F1">
        <w:trPr>
          <w:trHeight w:val="794"/>
        </w:trPr>
        <w:tc>
          <w:tcPr>
            <w:tcW w:w="2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2017-18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Actual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Revised budget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2019-20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2020-21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2021-22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Employee benefits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46,168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47,950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49,584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51,978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49,784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Suppliers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37,138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37,700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38,539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44,319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44,404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Depreciation and amortisation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3,598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4,318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4,539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4,034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4,152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Write-down and impairment of non-financial assets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23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07D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07D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07D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Other expenses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720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570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570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570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570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Total expenses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87,647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90,538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93,232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100,901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98,910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LESS: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OWN-SOURCE INCOME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Own-source revenue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ale of goods and rendering of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07DEE">
              <w:rPr>
                <w:rFonts w:ascii="Arial" w:hAnsi="Arial" w:cs="Arial"/>
                <w:sz w:val="16"/>
                <w:szCs w:val="16"/>
              </w:rPr>
              <w:t>services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7,317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9,224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5,875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5,887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5,586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328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284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284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284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284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Total own-source revenue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7,645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9,508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6,159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6,171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5,870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Gains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gains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569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230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230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230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230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Total gains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569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230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230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230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230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Total own-source income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8,214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9,738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6,389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6,401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6,100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cost of/</w:t>
            </w:r>
            <w:r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(contribution by)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(79,433)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(80,800)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(86,843)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(94,500)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(92,810)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Revenue from g</w:t>
            </w:r>
            <w:r w:rsidRPr="00C07DEE">
              <w:rPr>
                <w:rFonts w:ascii="Arial" w:hAnsi="Arial" w:cs="Arial"/>
                <w:sz w:val="16"/>
                <w:szCs w:val="16"/>
              </w:rPr>
              <w:t>overnment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77,405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76,482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82,304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90,466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88,658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Surplus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/(deficit) attributable to 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Australian Government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(2,028)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(4,318)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(4,539)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(4,034)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(4,152)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OTHER COMPREHENSIVE INCOME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Changes in asset revaluation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781F">
              <w:rPr>
                <w:rFonts w:ascii="Arial" w:hAnsi="Arial" w:cs="Arial"/>
                <w:bCs/>
                <w:sz w:val="16"/>
                <w:szCs w:val="16"/>
              </w:rPr>
              <w:t xml:space="preserve">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9781F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978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978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978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978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other comprehensive income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240C91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C9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240C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40C91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C9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240C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40C91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C91"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40C91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C9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240C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F50F4" w:rsidRPr="00C07DEE" w:rsidTr="00E84DCA">
        <w:trPr>
          <w:trHeight w:val="198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Tot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 comprehensive income/(loss)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ttributable to the Australian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Government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(2,016)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(4,318)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(4,539)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(4,034)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(4,152)</w:t>
            </w:r>
          </w:p>
        </w:tc>
      </w:tr>
    </w:tbl>
    <w:p w:rsidR="00182D70" w:rsidRDefault="00182D70" w:rsidP="00DF50F4">
      <w:pPr>
        <w:pStyle w:val="TableHeading"/>
        <w:spacing w:before="0"/>
        <w:rPr>
          <w:snapToGrid w:val="0"/>
          <w:lang w:val="en-AU"/>
        </w:rPr>
      </w:pPr>
    </w:p>
    <w:p w:rsidR="00DF50F4" w:rsidRDefault="00DF50F4" w:rsidP="00DF50F4">
      <w:pPr>
        <w:pStyle w:val="TableHeading"/>
        <w:spacing w:before="0"/>
        <w:rPr>
          <w:snapToGrid w:val="0"/>
          <w:lang w:val="en-AU"/>
        </w:rPr>
      </w:pPr>
      <w:r>
        <w:rPr>
          <w:snapToGrid w:val="0"/>
        </w:rPr>
        <w:t>Table 3.2:</w:t>
      </w:r>
      <w:r w:rsidRPr="00014438">
        <w:rPr>
          <w:snapToGrid w:val="0"/>
        </w:rPr>
        <w:t xml:space="preserve"> </w:t>
      </w:r>
      <w:r>
        <w:rPr>
          <w:snapToGrid w:val="0"/>
        </w:rPr>
        <w:t>C</w:t>
      </w:r>
      <w:r w:rsidRPr="00014438">
        <w:rPr>
          <w:snapToGrid w:val="0"/>
        </w:rPr>
        <w:t>omprehensive income statement (showing net cost of services)</w:t>
      </w:r>
      <w:r>
        <w:rPr>
          <w:snapToGrid w:val="0"/>
          <w:lang w:val="en-AU"/>
        </w:rPr>
        <w:br/>
        <w:t>for the period ended 30 June (continued)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76"/>
        <w:gridCol w:w="851"/>
        <w:gridCol w:w="851"/>
        <w:gridCol w:w="992"/>
        <w:gridCol w:w="991"/>
        <w:gridCol w:w="866"/>
      </w:tblGrid>
      <w:tr w:rsidR="00DF50F4" w:rsidRPr="00C07DEE" w:rsidTr="00DB6503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Note: Impact of net cash appropriation arrangements</w:t>
            </w:r>
            <w:r w:rsidRPr="00C07D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50F4" w:rsidRPr="00C07DEE" w:rsidTr="00F633F1">
        <w:trPr>
          <w:trHeight w:val="397"/>
        </w:trPr>
        <w:tc>
          <w:tcPr>
            <w:tcW w:w="2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2017-18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2019-20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2020-21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2021-22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DF50F4" w:rsidRPr="00C07DEE" w:rsidTr="00DB6503">
        <w:trPr>
          <w:trHeight w:val="809"/>
        </w:trPr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 comprehensive income/(loss)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excluding depreciation and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amortisation expenses previously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funded through revenue appropriations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1,582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F50F4" w:rsidRPr="00C07DEE" w:rsidTr="00DB6503">
        <w:trPr>
          <w:trHeight w:val="548"/>
        </w:trPr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C07DEE">
              <w:rPr>
                <w:rFonts w:ascii="Arial" w:hAnsi="Arial" w:cs="Arial"/>
                <w:color w:val="000000"/>
                <w:sz w:val="16"/>
                <w:szCs w:val="16"/>
              </w:rPr>
              <w:t>ess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epreciation and amortisation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07DEE">
              <w:rPr>
                <w:rFonts w:ascii="Arial" w:hAnsi="Arial" w:cs="Arial"/>
                <w:color w:val="000000"/>
                <w:sz w:val="16"/>
                <w:szCs w:val="16"/>
              </w:rPr>
              <w:t>expen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ses previously funded through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07DEE">
              <w:rPr>
                <w:rFonts w:ascii="Arial" w:hAnsi="Arial" w:cs="Arial"/>
                <w:color w:val="000000"/>
                <w:sz w:val="16"/>
                <w:szCs w:val="16"/>
              </w:rPr>
              <w:t>revenue appropriations (a)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3,598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4,318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4,539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4,034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DEE">
              <w:rPr>
                <w:rFonts w:ascii="Arial" w:hAnsi="Arial" w:cs="Arial"/>
                <w:sz w:val="16"/>
                <w:szCs w:val="16"/>
              </w:rPr>
              <w:t xml:space="preserve">4,152 </w:t>
            </w:r>
          </w:p>
        </w:tc>
      </w:tr>
      <w:tr w:rsidR="00DF50F4" w:rsidRPr="00C07DEE" w:rsidTr="00DB6503">
        <w:trPr>
          <w:trHeight w:val="569"/>
        </w:trPr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comprehensive income/(loss)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 per the statement of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07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comprehensive income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(2,016)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(4,318)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(4,539)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(4,034)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07DEE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DEE">
              <w:rPr>
                <w:rFonts w:ascii="Arial" w:hAnsi="Arial" w:cs="Arial"/>
                <w:b/>
                <w:bCs/>
                <w:sz w:val="16"/>
                <w:szCs w:val="16"/>
              </w:rPr>
              <w:t>(4,152)</w:t>
            </w:r>
          </w:p>
        </w:tc>
      </w:tr>
    </w:tbl>
    <w:p w:rsidR="00DF50F4" w:rsidRPr="009C33E9" w:rsidRDefault="00DF50F4" w:rsidP="00DF50F4">
      <w:pPr>
        <w:pStyle w:val="Source"/>
        <w:jc w:val="left"/>
      </w:pPr>
      <w:r w:rsidRPr="009C33E9">
        <w:t>Prepared on Australian Accounting Standards basis.</w:t>
      </w:r>
    </w:p>
    <w:p w:rsidR="00DF50F4" w:rsidRPr="00182D70" w:rsidRDefault="00DF50F4" w:rsidP="00DF50F4">
      <w:pPr>
        <w:pStyle w:val="ChartandTableFootnoteAlpha"/>
        <w:numPr>
          <w:ilvl w:val="0"/>
          <w:numId w:val="39"/>
        </w:numPr>
        <w:jc w:val="left"/>
        <w:rPr>
          <w:snapToGrid w:val="0"/>
        </w:rPr>
      </w:pPr>
      <w:r w:rsidRPr="006A2FB6">
        <w:t xml:space="preserve">From 2010-11, the </w:t>
      </w:r>
      <w:r>
        <w:t>g</w:t>
      </w:r>
      <w:r w:rsidRPr="006A2FB6">
        <w:t>overnment introduced net cash a</w:t>
      </w:r>
      <w:r>
        <w:t xml:space="preserve">ppropriation arrangements. This meant </w:t>
      </w:r>
      <w:r w:rsidRPr="00182D70">
        <w:t>Appropriation Act No. 1</w:t>
      </w:r>
      <w:r w:rsidRPr="006A2FB6">
        <w:t xml:space="preserve"> or Bill No. 3 revenue appr</w:t>
      </w:r>
      <w:r>
        <w:t xml:space="preserve">opriations for the depreciation and </w:t>
      </w:r>
      <w:r w:rsidRPr="006A2FB6">
        <w:t>amortisation expenses of</w:t>
      </w:r>
      <w:r>
        <w:t xml:space="preserve"> </w:t>
      </w:r>
      <w:r w:rsidRPr="006A2FB6">
        <w:t xml:space="preserve">non-corporate Commonwealth entities were replaced with a separate capital budget (the </w:t>
      </w:r>
      <w:r>
        <w:t>d</w:t>
      </w:r>
      <w:r w:rsidRPr="006A2FB6">
        <w:t xml:space="preserve">epartmental </w:t>
      </w:r>
      <w:r>
        <w:t>c</w:t>
      </w:r>
      <w:r w:rsidRPr="006A2FB6">
        <w:t xml:space="preserve">apital </w:t>
      </w:r>
      <w:r>
        <w:t>budget</w:t>
      </w:r>
      <w:r w:rsidRPr="006A2FB6">
        <w:t xml:space="preserve">) provided through </w:t>
      </w:r>
      <w:r w:rsidRPr="00182D70">
        <w:t>Appropriation Act No. 1</w:t>
      </w:r>
      <w:r w:rsidRPr="006A2FB6">
        <w:t xml:space="preserve"> or Bill No. 3 equity appropriations. For inf</w:t>
      </w:r>
      <w:r>
        <w:t xml:space="preserve">ormation regarding departmental capital budgets, </w:t>
      </w:r>
      <w:r w:rsidRPr="006A2FB6">
        <w:t>refer to Table 3.6</w:t>
      </w:r>
      <w:r>
        <w:t>:</w:t>
      </w:r>
      <w:r w:rsidRPr="006A2FB6">
        <w:t xml:space="preserve"> Departmental </w:t>
      </w:r>
      <w:r>
        <w:t>c</w:t>
      </w:r>
      <w:r w:rsidRPr="006A2FB6">
        <w:t xml:space="preserve">apital </w:t>
      </w:r>
      <w:r>
        <w:t>b</w:t>
      </w:r>
      <w:r w:rsidRPr="006A2FB6">
        <w:t xml:space="preserve">udget </w:t>
      </w:r>
      <w:r>
        <w:t>s</w:t>
      </w:r>
      <w:r w:rsidRPr="006A2FB6">
        <w:t>tatement.</w:t>
      </w:r>
    </w:p>
    <w:p w:rsidR="00DF50F4" w:rsidRDefault="00DF50F4" w:rsidP="00DF50F4">
      <w:pPr>
        <w:pStyle w:val="TableHeading"/>
        <w:spacing w:before="0"/>
        <w:rPr>
          <w:lang w:val="en-AU"/>
        </w:rPr>
      </w:pPr>
      <w:r>
        <w:rPr>
          <w:snapToGrid w:val="0"/>
        </w:rPr>
        <w:br w:type="page"/>
        <w:t>Table 3.3</w:t>
      </w:r>
      <w:r w:rsidRPr="00014438">
        <w:rPr>
          <w:snapToGrid w:val="0"/>
        </w:rPr>
        <w:t xml:space="preserve">: Budgeted </w:t>
      </w:r>
      <w:r>
        <w:rPr>
          <w:snapToGrid w:val="0"/>
        </w:rPr>
        <w:t>d</w:t>
      </w:r>
      <w:r w:rsidRPr="00014438">
        <w:rPr>
          <w:snapToGrid w:val="0"/>
        </w:rPr>
        <w:t xml:space="preserve">epartmental </w:t>
      </w:r>
      <w:r>
        <w:rPr>
          <w:snapToGrid w:val="0"/>
        </w:rPr>
        <w:t>b</w:t>
      </w:r>
      <w:r w:rsidRPr="00014438">
        <w:rPr>
          <w:snapToGrid w:val="0"/>
        </w:rPr>
        <w:t xml:space="preserve">alance </w:t>
      </w:r>
      <w:r>
        <w:rPr>
          <w:snapToGrid w:val="0"/>
        </w:rPr>
        <w:t>s</w:t>
      </w:r>
      <w:r w:rsidRPr="00014438">
        <w:rPr>
          <w:snapToGrid w:val="0"/>
        </w:rPr>
        <w:t>heet (as at 30 June)</w:t>
      </w:r>
      <w:r w:rsidRPr="00EC73D1">
        <w:rPr>
          <w:b w:val="0"/>
          <w:snapToGrid w:val="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14"/>
        <w:gridCol w:w="888"/>
        <w:gridCol w:w="910"/>
        <w:gridCol w:w="939"/>
        <w:gridCol w:w="939"/>
        <w:gridCol w:w="937"/>
      </w:tblGrid>
      <w:tr w:rsidR="00DF50F4" w:rsidRPr="005C2338" w:rsidTr="00F633F1">
        <w:trPr>
          <w:trHeight w:val="794"/>
        </w:trPr>
        <w:tc>
          <w:tcPr>
            <w:tcW w:w="20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2017-18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Actual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Revised budget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2019-20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2020-21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2021-22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ASSETS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assets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Cash </w:t>
            </w:r>
            <w:r w:rsidRPr="005C2338">
              <w:rPr>
                <w:rFonts w:ascii="Arial" w:hAnsi="Arial" w:cs="Arial"/>
                <w:sz w:val="16"/>
                <w:szCs w:val="16"/>
              </w:rPr>
              <w:t>and cash equivalents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C2338">
              <w:rPr>
                <w:rFonts w:ascii="Arial" w:hAnsi="Arial" w:cs="Arial"/>
                <w:sz w:val="16"/>
                <w:szCs w:val="16"/>
              </w:rPr>
              <w:t>Trade and other receivables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13,524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10,672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8,228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6,873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5,961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financial assets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14,010 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11,158 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8,714 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7,359 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6,447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Non-financial assets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Land and buildings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9,712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10,438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12,829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11,717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10,547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Property, plant and equipment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3,220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3,904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4,206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3,308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2,387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Intangibles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2,700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3,083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2,566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2,424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2,256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Other non-financial assets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2,063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2,952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2,952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2,952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2,952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non-financial assets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17,695 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20,377 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22,553 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20,401 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18,142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assets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31,705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31,535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31,267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27,760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24,589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LIABILITIES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Payables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Suppliers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13,486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12,825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13,714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12,467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11,555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Other payables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316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506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886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1,056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1,056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payables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13,802 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13,331 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14,600 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13,523 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12,611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Provisions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Employee provisions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14,539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15,259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16,437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16,437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16,437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Other provisions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821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1,159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1,114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836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836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provisions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15,360 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16,418 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17,551 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17,273 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17,273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liabilities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29,162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29,749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32,151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30,796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29,884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sz w:val="16"/>
                <w:szCs w:val="16"/>
              </w:rPr>
              <w:t>Net assets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2,543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1,786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(884)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(3,036)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(5,295)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EQUITY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Parent entity interest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Contributed equity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13,892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17,453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19,322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21,204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23,097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Reserves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18,491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18,491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18,491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18,491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 xml:space="preserve">18,491 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Retained surplus/</w:t>
            </w: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(accumulated deficit)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(29,840)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(34,158)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(38,697)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(42,731)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color w:val="000000"/>
                <w:sz w:val="16"/>
                <w:szCs w:val="16"/>
              </w:rPr>
              <w:t>(46,883)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parent entity interest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2,543 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1,786 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(884)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(3,036)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(5,295)</w:t>
            </w:r>
          </w:p>
        </w:tc>
      </w:tr>
      <w:tr w:rsidR="00DF50F4" w:rsidRPr="005C2338" w:rsidTr="00E84DCA">
        <w:trPr>
          <w:trHeight w:val="227"/>
        </w:trPr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</w:t>
            </w: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quity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2,543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1,786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(884)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(3,036)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5C2338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3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(5,295)</w:t>
            </w:r>
          </w:p>
        </w:tc>
      </w:tr>
    </w:tbl>
    <w:p w:rsidR="00DF50F4" w:rsidRPr="009C33E9" w:rsidRDefault="00DF50F4" w:rsidP="00DF50F4">
      <w:pPr>
        <w:pStyle w:val="Source"/>
      </w:pPr>
      <w:r w:rsidRPr="009C33E9">
        <w:t>Prepared on Australian Accounting Standards basis.</w:t>
      </w:r>
    </w:p>
    <w:p w:rsidR="00DF50F4" w:rsidRDefault="00DF50F4" w:rsidP="00DB6503">
      <w:pPr>
        <w:pStyle w:val="TableGraphic"/>
        <w:numPr>
          <w:ilvl w:val="0"/>
          <w:numId w:val="40"/>
        </w:numPr>
        <w:rPr>
          <w:rFonts w:ascii="Arial" w:hAnsi="Arial" w:cs="Arial"/>
          <w:i w:val="0"/>
          <w:color w:val="auto"/>
          <w:sz w:val="16"/>
          <w:szCs w:val="16"/>
        </w:rPr>
      </w:pPr>
      <w:r w:rsidRPr="00C9781F">
        <w:rPr>
          <w:rFonts w:ascii="Arial" w:hAnsi="Arial" w:cs="Arial"/>
          <w:i w:val="0"/>
          <w:color w:val="auto"/>
          <w:sz w:val="16"/>
          <w:szCs w:val="16"/>
        </w:rPr>
        <w:t>Equity is the residual interest in assets after the deduction of liabilities</w:t>
      </w:r>
      <w:r>
        <w:rPr>
          <w:rFonts w:ascii="Arial" w:hAnsi="Arial" w:cs="Arial"/>
          <w:i w:val="0"/>
          <w:color w:val="auto"/>
          <w:sz w:val="16"/>
          <w:szCs w:val="16"/>
        </w:rPr>
        <w:t>.</w:t>
      </w:r>
    </w:p>
    <w:p w:rsidR="00DF50F4" w:rsidRPr="00014438" w:rsidRDefault="00DF50F4" w:rsidP="00DF50F4">
      <w:pPr>
        <w:pStyle w:val="TableHeading"/>
        <w:spacing w:before="0"/>
        <w:rPr>
          <w:snapToGrid w:val="0"/>
        </w:rPr>
      </w:pPr>
      <w:r>
        <w:rPr>
          <w:snapToGrid w:val="0"/>
        </w:rPr>
        <w:br w:type="page"/>
        <w:t xml:space="preserve">Table 3.4: </w:t>
      </w:r>
      <w:r w:rsidRPr="00014438">
        <w:rPr>
          <w:snapToGrid w:val="0"/>
        </w:rPr>
        <w:t xml:space="preserve">Departmental </w:t>
      </w:r>
      <w:r>
        <w:rPr>
          <w:snapToGrid w:val="0"/>
        </w:rPr>
        <w:t>s</w:t>
      </w:r>
      <w:r w:rsidRPr="00014438">
        <w:rPr>
          <w:snapToGrid w:val="0"/>
        </w:rPr>
        <w:t xml:space="preserve">tatement of </w:t>
      </w:r>
      <w:r>
        <w:rPr>
          <w:snapToGrid w:val="0"/>
        </w:rPr>
        <w:t>c</w:t>
      </w:r>
      <w:r w:rsidRPr="00014438">
        <w:rPr>
          <w:snapToGrid w:val="0"/>
        </w:rPr>
        <w:t xml:space="preserve">hanges in </w:t>
      </w:r>
      <w:r>
        <w:rPr>
          <w:snapToGrid w:val="0"/>
        </w:rPr>
        <w:t>e</w:t>
      </w:r>
      <w:r w:rsidRPr="00014438">
        <w:rPr>
          <w:snapToGrid w:val="0"/>
        </w:rPr>
        <w:t xml:space="preserve">quity </w:t>
      </w:r>
      <w:r>
        <w:rPr>
          <w:snapToGrid w:val="0"/>
          <w:lang w:val="en-AU"/>
        </w:rPr>
        <w:t xml:space="preserve">– </w:t>
      </w:r>
      <w:r>
        <w:rPr>
          <w:snapToGrid w:val="0"/>
        </w:rPr>
        <w:t>s</w:t>
      </w:r>
      <w:r w:rsidRPr="00014438">
        <w:rPr>
          <w:snapToGrid w:val="0"/>
        </w:rPr>
        <w:t xml:space="preserve">ummary of </w:t>
      </w:r>
      <w:r>
        <w:rPr>
          <w:snapToGrid w:val="0"/>
        </w:rPr>
        <w:t>m</w:t>
      </w:r>
      <w:r w:rsidRPr="00014438">
        <w:rPr>
          <w:snapToGrid w:val="0"/>
        </w:rPr>
        <w:t>ovement (</w:t>
      </w:r>
      <w:r>
        <w:rPr>
          <w:snapToGrid w:val="0"/>
          <w:lang w:val="en-AU"/>
        </w:rPr>
        <w:t>2018-19 b</w:t>
      </w:r>
      <w:r w:rsidRPr="00014438">
        <w:rPr>
          <w:snapToGrid w:val="0"/>
        </w:rPr>
        <w:t xml:space="preserve">udget </w:t>
      </w:r>
      <w:r>
        <w:rPr>
          <w:snapToGrid w:val="0"/>
          <w:lang w:val="en-AU"/>
        </w:rPr>
        <w:t>y</w:t>
      </w:r>
      <w:r w:rsidRPr="00014438">
        <w:rPr>
          <w:snapToGrid w:val="0"/>
        </w:rPr>
        <w:t>ear)</w:t>
      </w:r>
      <w:r w:rsidRPr="00EC73D1">
        <w:rPr>
          <w:b w:val="0"/>
          <w:snapToGrid w:val="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7"/>
        <w:gridCol w:w="1024"/>
        <w:gridCol w:w="1192"/>
        <w:gridCol w:w="1246"/>
        <w:gridCol w:w="978"/>
      </w:tblGrid>
      <w:tr w:rsidR="00DF50F4" w:rsidRPr="002B7AF2" w:rsidTr="00DB6503">
        <w:trPr>
          <w:trHeight w:val="657"/>
        </w:trPr>
        <w:tc>
          <w:tcPr>
            <w:tcW w:w="2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Retained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earnings 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Asset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revaluation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reserve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Contributed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equity/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capital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equity</w:t>
            </w:r>
            <w:r w:rsidRPr="00C9781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Opening balance as at 1 July 2018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Balance carried forward from </w:t>
            </w: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previous period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(29,840)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18,491 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13,892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2,543 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Adjustment for changes in </w:t>
            </w: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accounting policies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Adjusted opening balance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(29,840)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18,491 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13,892 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2,543 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Comprehensive income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7AF2">
              <w:rPr>
                <w:rFonts w:ascii="Arial" w:hAnsi="Arial" w:cs="Arial"/>
                <w:sz w:val="16"/>
                <w:szCs w:val="16"/>
              </w:rPr>
              <w:t>Surplus/(deficit) for the period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(4,318)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(4,318)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comprehensive income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(4,318)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40C91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40C9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240C91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40C91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40C91"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(4,318)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Transactions with owners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1E169B">
            <w:pPr>
              <w:spacing w:after="0" w:line="240" w:lineRule="auto"/>
              <w:ind w:firstLine="142"/>
              <w:jc w:val="left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Contributions by owners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ind w:firstLineChars="88" w:firstLine="141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Departmental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apital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budget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3,561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color w:val="000000"/>
                <w:sz w:val="16"/>
                <w:szCs w:val="16"/>
              </w:rPr>
              <w:t xml:space="preserve">3,561 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BE3A98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Sub-total transactions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owners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40C91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0C9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240C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40C91" w:rsidRDefault="00240C91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0C9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240C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3,561 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3,561 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timated closing balance as at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June 2019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(34,158)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18,491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17,453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1,786 </w:t>
            </w:r>
          </w:p>
        </w:tc>
      </w:tr>
      <w:tr w:rsidR="00DF50F4" w:rsidRPr="002B7AF2" w:rsidTr="00E84DCA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losing balance attributable to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Australian Government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(34,158)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18,491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17,453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2B7AF2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1,786 </w:t>
            </w:r>
          </w:p>
        </w:tc>
      </w:tr>
    </w:tbl>
    <w:p w:rsidR="00DF50F4" w:rsidRPr="008D4221" w:rsidRDefault="00DF50F4" w:rsidP="00DF50F4">
      <w:pPr>
        <w:pStyle w:val="Source"/>
        <w:rPr>
          <w:snapToGrid w:val="0"/>
        </w:rPr>
      </w:pPr>
      <w:r w:rsidRPr="008D4221">
        <w:t>Prepared on Australian Accounting Standards basis</w:t>
      </w:r>
      <w:r>
        <w:t>.</w:t>
      </w:r>
      <w:r w:rsidRPr="008D4221">
        <w:rPr>
          <w:snapToGrid w:val="0"/>
        </w:rPr>
        <w:t xml:space="preserve"> </w:t>
      </w:r>
    </w:p>
    <w:p w:rsidR="00DF50F4" w:rsidRDefault="00DF50F4" w:rsidP="00DF50F4">
      <w:pPr>
        <w:pStyle w:val="TableGraphic"/>
      </w:pPr>
    </w:p>
    <w:p w:rsidR="00DF50F4" w:rsidRDefault="00DF50F4" w:rsidP="00DF50F4">
      <w:pPr>
        <w:pStyle w:val="TableHeading"/>
        <w:spacing w:before="0"/>
        <w:rPr>
          <w:snapToGrid w:val="0"/>
        </w:rPr>
      </w:pPr>
    </w:p>
    <w:p w:rsidR="00DF50F4" w:rsidRDefault="00DF50F4" w:rsidP="00DF50F4">
      <w:pPr>
        <w:pStyle w:val="TableHeading"/>
        <w:spacing w:before="0"/>
        <w:rPr>
          <w:lang w:val="en-AU"/>
        </w:rPr>
      </w:pPr>
      <w:r>
        <w:rPr>
          <w:snapToGrid w:val="0"/>
        </w:rPr>
        <w:br w:type="page"/>
        <w:t>Table 3</w:t>
      </w:r>
      <w:r w:rsidRPr="00014438">
        <w:rPr>
          <w:snapToGrid w:val="0"/>
        </w:rPr>
        <w:t>.</w:t>
      </w:r>
      <w:r>
        <w:rPr>
          <w:snapToGrid w:val="0"/>
        </w:rPr>
        <w:t>5</w:t>
      </w:r>
      <w:r w:rsidRPr="00014438">
        <w:rPr>
          <w:snapToGrid w:val="0"/>
        </w:rPr>
        <w:t xml:space="preserve">: Budgeted </w:t>
      </w:r>
      <w:r>
        <w:rPr>
          <w:snapToGrid w:val="0"/>
        </w:rPr>
        <w:t>d</w:t>
      </w:r>
      <w:r w:rsidRPr="00014438">
        <w:rPr>
          <w:snapToGrid w:val="0"/>
        </w:rPr>
        <w:t xml:space="preserve">epartmental </w:t>
      </w:r>
      <w:r>
        <w:rPr>
          <w:snapToGrid w:val="0"/>
        </w:rPr>
        <w:t>s</w:t>
      </w:r>
      <w:r w:rsidRPr="00014438">
        <w:rPr>
          <w:snapToGrid w:val="0"/>
        </w:rPr>
        <w:t xml:space="preserve">tatement of </w:t>
      </w:r>
      <w:r>
        <w:rPr>
          <w:snapToGrid w:val="0"/>
        </w:rPr>
        <w:t>c</w:t>
      </w:r>
      <w:r w:rsidRPr="00014438">
        <w:rPr>
          <w:snapToGrid w:val="0"/>
        </w:rPr>
        <w:t xml:space="preserve">ash </w:t>
      </w:r>
      <w:r>
        <w:rPr>
          <w:snapToGrid w:val="0"/>
        </w:rPr>
        <w:t>f</w:t>
      </w:r>
      <w:r w:rsidRPr="00014438">
        <w:rPr>
          <w:snapToGrid w:val="0"/>
        </w:rPr>
        <w:t>lows (</w:t>
      </w:r>
      <w:r>
        <w:rPr>
          <w:snapToGrid w:val="0"/>
          <w:lang w:val="en-AU"/>
        </w:rPr>
        <w:t>for the period ended</w:t>
      </w:r>
      <w:r w:rsidRPr="00014438">
        <w:rPr>
          <w:snapToGrid w:val="0"/>
        </w:rPr>
        <w:t xml:space="preserve"> 30 June)</w:t>
      </w:r>
      <w:r w:rsidRPr="00EC73D1">
        <w:rPr>
          <w:b w:val="0"/>
          <w:snapToGrid w:val="0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852"/>
        <w:gridCol w:w="851"/>
        <w:gridCol w:w="994"/>
        <w:gridCol w:w="992"/>
        <w:gridCol w:w="1011"/>
      </w:tblGrid>
      <w:tr w:rsidR="00DF50F4" w:rsidRPr="008219BB" w:rsidTr="00F633F1">
        <w:trPr>
          <w:trHeight w:val="794"/>
        </w:trPr>
        <w:tc>
          <w:tcPr>
            <w:tcW w:w="2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2017-18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Actual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Revised budget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2019-20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2020-21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2021-22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OPERATING ACTIVITIES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received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Appropriations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86,321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79,334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84,748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91,821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89,800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Sale of goods and rendering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ervices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7,841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9,224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5,875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5,887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5,586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Net GST received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3,587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cash received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97,749 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88,558 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90,623 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97,708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95,386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used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Employees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48,028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47,044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48,026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51,808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49,784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Suppliers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37,072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32,058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36,107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39,165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39,446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Appropriation cash returned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 Official Public Account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9,293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9,224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5,875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5,887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5,586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720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432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615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448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570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cash used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95,113 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88,758 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90,623 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97,308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95,386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Net cash from/(used </w:t>
            </w: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by)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operating activities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2,636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(200)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C68C0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68C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0C6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400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C68C0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68C0"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INVESTING ACTIVITIES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used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Pur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chase of property, plant, and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equipment and intangibles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5,489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3,361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1,869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2,282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1,893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cash used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5,489 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3,361 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1,869 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2,282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1,893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Net cash from/(used by) </w:t>
            </w: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investing activities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(5,489)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(3,361)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(1,869)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(2,282)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(1,893)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FINANCING ACTIVITIES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received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Contributed equity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2,689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3,561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1,869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1,882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1,893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Total cash received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2,689 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3,561 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1,869 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1,882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1,893 </w:t>
            </w:r>
          </w:p>
        </w:tc>
      </w:tr>
      <w:tr w:rsidR="00DF50F4" w:rsidRPr="008219BB" w:rsidTr="00E84DCA">
        <w:trPr>
          <w:trHeight w:val="22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 increase/(decrease) in cash </w:t>
            </w: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held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(164)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0C68C0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68C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0C6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C68C0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68C0"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C68C0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68C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0C6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0C68C0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68C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F50F4" w:rsidRPr="000C6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F50F4" w:rsidRPr="008219BB" w:rsidTr="004B60B9">
        <w:trPr>
          <w:trHeight w:val="397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Cas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 and cash equivalents at the </w:t>
            </w: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>beginning of the reporting period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650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</w:tr>
      <w:tr w:rsidR="00DF50F4" w:rsidRPr="008219BB" w:rsidTr="004B60B9">
        <w:trPr>
          <w:trHeight w:val="397"/>
        </w:trPr>
        <w:tc>
          <w:tcPr>
            <w:tcW w:w="20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Cash and cash equivalents at </w:t>
            </w: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end of the reporting period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8219BB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19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486 </w:t>
            </w:r>
          </w:p>
        </w:tc>
      </w:tr>
    </w:tbl>
    <w:p w:rsidR="00DF50F4" w:rsidRPr="009C33E9" w:rsidRDefault="00DF50F4" w:rsidP="00DF50F4">
      <w:pPr>
        <w:pStyle w:val="Source"/>
      </w:pPr>
      <w:r w:rsidRPr="009C33E9">
        <w:t>Prepared on Australian Accounting Standards basis</w:t>
      </w:r>
      <w:r>
        <w:t>.</w:t>
      </w:r>
    </w:p>
    <w:p w:rsidR="00DF50F4" w:rsidRPr="000C3374" w:rsidRDefault="00DF50F4" w:rsidP="00DF50F4">
      <w:pPr>
        <w:pStyle w:val="TableGraphic"/>
      </w:pPr>
    </w:p>
    <w:p w:rsidR="00DF50F4" w:rsidRDefault="00DF50F4" w:rsidP="00DF50F4">
      <w:pPr>
        <w:pStyle w:val="Source"/>
      </w:pPr>
    </w:p>
    <w:p w:rsidR="00DF50F4" w:rsidRDefault="00DF50F4" w:rsidP="00DF50F4">
      <w:pPr>
        <w:pStyle w:val="Source"/>
      </w:pPr>
    </w:p>
    <w:p w:rsidR="00DF50F4" w:rsidRDefault="00DF50F4" w:rsidP="00DF50F4">
      <w:pPr>
        <w:pStyle w:val="Source"/>
        <w:rPr>
          <w:snapToGrid w:val="0"/>
        </w:rPr>
      </w:pPr>
    </w:p>
    <w:p w:rsidR="00DF50F4" w:rsidRDefault="00DF50F4" w:rsidP="00DF50F4">
      <w:pPr>
        <w:pStyle w:val="TableHeading"/>
        <w:spacing w:before="0"/>
        <w:rPr>
          <w:snapToGrid w:val="0"/>
        </w:rPr>
      </w:pPr>
    </w:p>
    <w:p w:rsidR="00DF50F4" w:rsidRDefault="00DF50F4" w:rsidP="00DF50F4">
      <w:pPr>
        <w:pStyle w:val="TableHeading"/>
        <w:spacing w:before="0"/>
        <w:rPr>
          <w:lang w:val="en-AU"/>
        </w:rPr>
      </w:pPr>
      <w:r>
        <w:rPr>
          <w:snapToGrid w:val="0"/>
        </w:rPr>
        <w:br w:type="page"/>
        <w:t>Table 3.6:</w:t>
      </w:r>
      <w:r w:rsidRPr="00014438">
        <w:rPr>
          <w:snapToGrid w:val="0"/>
        </w:rPr>
        <w:t xml:space="preserve"> </w:t>
      </w:r>
      <w:r>
        <w:rPr>
          <w:snapToGrid w:val="0"/>
          <w:lang w:val="en-AU"/>
        </w:rPr>
        <w:t xml:space="preserve">Departmental </w:t>
      </w:r>
      <w:r w:rsidRPr="00014438">
        <w:rPr>
          <w:snapToGrid w:val="0"/>
        </w:rPr>
        <w:t>capital budget statement</w:t>
      </w:r>
      <w:r>
        <w:rPr>
          <w:snapToGrid w:val="0"/>
          <w:lang w:val="en-AU"/>
        </w:rPr>
        <w:t xml:space="preserve"> (for the period ended 30 June)</w:t>
      </w:r>
      <w:r w:rsidRPr="008D4221">
        <w:rPr>
          <w:b w:val="0"/>
          <w:snapToGrid w:val="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69"/>
        <w:gridCol w:w="858"/>
        <w:gridCol w:w="858"/>
        <w:gridCol w:w="880"/>
        <w:gridCol w:w="881"/>
        <w:gridCol w:w="881"/>
      </w:tblGrid>
      <w:tr w:rsidR="00DF50F4" w:rsidRPr="00FF7113" w:rsidTr="00F633F1">
        <w:trPr>
          <w:trHeight w:val="794"/>
        </w:trPr>
        <w:tc>
          <w:tcPr>
            <w:tcW w:w="2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2017-18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Actual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2018-19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Revised budget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2019-20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2020-21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2021-22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Forward estimate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>NEW CAPITAL APPROPRIATIONS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Capital budget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FF7113">
              <w:rPr>
                <w:rFonts w:ascii="Arial" w:hAnsi="Arial" w:cs="Arial"/>
                <w:sz w:val="16"/>
                <w:szCs w:val="16"/>
              </w:rPr>
              <w:t xml:space="preserve"> Act No. 1 and Bill </w:t>
            </w:r>
            <w:r>
              <w:rPr>
                <w:rFonts w:ascii="Arial" w:hAnsi="Arial" w:cs="Arial"/>
                <w:sz w:val="16"/>
                <w:szCs w:val="16"/>
              </w:rPr>
              <w:t xml:space="preserve">No. </w:t>
            </w:r>
            <w:r w:rsidRPr="00FF7113">
              <w:rPr>
                <w:rFonts w:ascii="Arial" w:hAnsi="Arial" w:cs="Arial"/>
                <w:sz w:val="16"/>
                <w:szCs w:val="16"/>
              </w:rPr>
              <w:t>3 (DCB)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4,135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2,118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1,869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1,882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1,893 </w:t>
            </w: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>Total new capital appropriations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4,135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2,118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1,869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1,882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1,893 </w:t>
            </w: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>Provided for: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>Purchase of non-financial assets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2,692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2,118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1,869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1,882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1,893 </w:t>
            </w: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>tems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2,692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2,118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1,869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1,882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1,893 </w:t>
            </w: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>PURCHASE OF NON-FINANCIAL ASSETS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Funded by capital appropriation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FF7113">
              <w:rPr>
                <w:rFonts w:ascii="Arial" w:hAnsi="Arial" w:cs="Arial"/>
                <w:sz w:val="16"/>
                <w:szCs w:val="16"/>
              </w:rPr>
              <w:t>DCB (a)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2,692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3,561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1,869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1,882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1,893 </w:t>
            </w: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amount spent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2,692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3,561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1,869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1,882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1,893 </w:t>
            </w:r>
          </w:p>
        </w:tc>
      </w:tr>
      <w:tr w:rsidR="00DF50F4" w:rsidRPr="00FF7113" w:rsidTr="004B60B9">
        <w:trPr>
          <w:trHeight w:val="595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ECONCILIATION OF CASH USED 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ACQUIRE ASSETS TO ASSET </w:t>
            </w: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>MOVEMENT TABLE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>Total purchases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2,692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3,561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1,869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1,882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113">
              <w:rPr>
                <w:rFonts w:ascii="Arial" w:hAnsi="Arial" w:cs="Arial"/>
                <w:sz w:val="16"/>
                <w:szCs w:val="16"/>
              </w:rPr>
              <w:t xml:space="preserve">1,893 </w:t>
            </w:r>
          </w:p>
        </w:tc>
      </w:tr>
      <w:tr w:rsidR="00DF50F4" w:rsidRPr="00FF7113" w:rsidTr="00E84DCA">
        <w:trPr>
          <w:trHeight w:val="227"/>
        </w:trPr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>Total Cash used to acquire assets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2,692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3,561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1,869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1,882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F7113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1,893 </w:t>
            </w:r>
          </w:p>
        </w:tc>
      </w:tr>
    </w:tbl>
    <w:p w:rsidR="00DF50F4" w:rsidRPr="009C33E9" w:rsidRDefault="00DF50F4" w:rsidP="00DF50F4">
      <w:pPr>
        <w:pStyle w:val="Source"/>
      </w:pPr>
      <w:r w:rsidRPr="000F37E6">
        <w:t>Prepared on Australian Accounting Standards</w:t>
      </w:r>
      <w:r w:rsidRPr="009C33E9">
        <w:t xml:space="preserve"> basis.</w:t>
      </w:r>
    </w:p>
    <w:p w:rsidR="00DF50F4" w:rsidRDefault="00DF50F4" w:rsidP="003D6215">
      <w:pPr>
        <w:pStyle w:val="ChartandTableFootnoteAlpha"/>
        <w:numPr>
          <w:ilvl w:val="0"/>
          <w:numId w:val="41"/>
        </w:numPr>
        <w:ind w:left="284" w:hanging="284"/>
        <w:jc w:val="left"/>
      </w:pPr>
      <w:r>
        <w:t>Does not include annual finance lease costs. Includes purchases from current and previous years’ departmental capital budgets (DCBs).</w:t>
      </w:r>
    </w:p>
    <w:p w:rsidR="00DF50F4" w:rsidRPr="00BE3A98" w:rsidRDefault="00DF50F4" w:rsidP="00DF50F4">
      <w:pPr>
        <w:ind w:left="720"/>
      </w:pPr>
    </w:p>
    <w:p w:rsidR="00DF50F4" w:rsidRDefault="00DF50F4" w:rsidP="00DF50F4">
      <w:pPr>
        <w:pStyle w:val="TableHeading"/>
        <w:spacing w:before="0" w:after="0"/>
        <w:rPr>
          <w:lang w:val="en-AU"/>
        </w:rPr>
      </w:pPr>
      <w:r>
        <w:rPr>
          <w:snapToGrid w:val="0"/>
        </w:rPr>
        <w:t>Table 3.</w:t>
      </w:r>
      <w:r>
        <w:rPr>
          <w:snapToGrid w:val="0"/>
          <w:lang w:val="en-AU"/>
        </w:rPr>
        <w:t>7</w:t>
      </w:r>
      <w:r>
        <w:rPr>
          <w:snapToGrid w:val="0"/>
        </w:rPr>
        <w:t xml:space="preserve">: </w:t>
      </w:r>
      <w:r w:rsidRPr="00014438">
        <w:rPr>
          <w:snapToGrid w:val="0"/>
        </w:rPr>
        <w:t>Statement of asset movements (</w:t>
      </w:r>
      <w:r>
        <w:rPr>
          <w:snapToGrid w:val="0"/>
        </w:rPr>
        <w:t>201</w:t>
      </w:r>
      <w:r>
        <w:rPr>
          <w:snapToGrid w:val="0"/>
          <w:lang w:val="en-AU"/>
        </w:rPr>
        <w:t>8-19 budget year</w:t>
      </w:r>
      <w:r w:rsidRPr="00014438">
        <w:rPr>
          <w:snapToGrid w:val="0"/>
        </w:rPr>
        <w:t>)</w:t>
      </w:r>
      <w:r w:rsidRPr="008D4221">
        <w:rPr>
          <w:b w:val="0"/>
          <w:snapToGrid w:val="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95"/>
        <w:gridCol w:w="988"/>
        <w:gridCol w:w="1099"/>
        <w:gridCol w:w="1119"/>
        <w:gridCol w:w="1026"/>
      </w:tblGrid>
      <w:tr w:rsidR="00DF50F4" w:rsidRPr="00FE5D16" w:rsidTr="00DB6503">
        <w:trPr>
          <w:trHeight w:val="895"/>
        </w:trPr>
        <w:tc>
          <w:tcPr>
            <w:tcW w:w="2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Buildings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property,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plant and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equipment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Computer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software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and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intangibles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0F4" w:rsidRPr="00C9781F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81F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C9781F">
              <w:rPr>
                <w:rFonts w:ascii="Arial" w:hAnsi="Arial" w:cs="Arial"/>
                <w:b/>
                <w:sz w:val="16"/>
                <w:szCs w:val="16"/>
              </w:rPr>
              <w:br/>
              <w:t>$'000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As at 1 July 2018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Gross book value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11,657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4,330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2,195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18,182 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Accumulated depreciation/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5D16">
              <w:rPr>
                <w:rFonts w:ascii="Arial" w:hAnsi="Arial" w:cs="Arial"/>
                <w:sz w:val="16"/>
                <w:szCs w:val="16"/>
              </w:rPr>
              <w:t>amortisation and impairment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FE5D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FE5D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  <w:r w:rsidR="00DF50F4" w:rsidRPr="00FE5D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0C68C0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66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Opening net book balance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11,657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4,330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2,195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18,182 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CAPITAL ASSET ADDITIONS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E5D16" w:rsidTr="004B60B9">
        <w:trPr>
          <w:trHeight w:val="39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Estimated expenditure on new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or replacement assets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E5D16" w:rsidTr="004B60B9">
        <w:trPr>
          <w:trHeight w:val="39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By purc</w:t>
            </w:r>
            <w:r>
              <w:rPr>
                <w:rFonts w:ascii="Arial" w:hAnsi="Arial" w:cs="Arial"/>
                <w:sz w:val="16"/>
                <w:szCs w:val="16"/>
              </w:rPr>
              <w:t>hase – appropriation ordinary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5D16">
              <w:rPr>
                <w:rFonts w:ascii="Arial" w:hAnsi="Arial" w:cs="Arial"/>
                <w:sz w:val="16"/>
                <w:szCs w:val="16"/>
              </w:rPr>
              <w:t>annual services (a)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1,301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943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1,317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3,561 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Total additions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1,301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943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1,317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3,561 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Other movements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Depreciation/amortisation expense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(2,520)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(1,369)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(429)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(4,318)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Total other movements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(2,520)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(1,369)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(429)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(4,318)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As at 30 June 2019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Gross book value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12,958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5,273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3,512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 xml:space="preserve">21,743 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Accumulated depreciation/</w:t>
            </w:r>
            <w:r w:rsidRPr="00FE5D16">
              <w:rPr>
                <w:rFonts w:ascii="Arial" w:hAnsi="Arial" w:cs="Arial"/>
                <w:sz w:val="16"/>
                <w:szCs w:val="16"/>
              </w:rPr>
              <w:t>amortisation and impairment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(2,520)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(1,369)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(429)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D16">
              <w:rPr>
                <w:rFonts w:ascii="Arial" w:hAnsi="Arial" w:cs="Arial"/>
                <w:sz w:val="16"/>
                <w:szCs w:val="16"/>
              </w:rPr>
              <w:t>(4,318)</w:t>
            </w:r>
          </w:p>
        </w:tc>
      </w:tr>
      <w:tr w:rsidR="00DF50F4" w:rsidRPr="00FE5D16" w:rsidTr="00E84DCA">
        <w:trPr>
          <w:trHeight w:val="227"/>
        </w:trPr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>Closing net book balance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10,438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3,904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3,083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0F4" w:rsidRPr="00FE5D16" w:rsidRDefault="00DF50F4" w:rsidP="00DB65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17,425 </w:t>
            </w:r>
          </w:p>
        </w:tc>
      </w:tr>
    </w:tbl>
    <w:p w:rsidR="00DF50F4" w:rsidRPr="00AC530C" w:rsidRDefault="00DF50F4" w:rsidP="00DF50F4">
      <w:pPr>
        <w:pStyle w:val="Source"/>
      </w:pPr>
      <w:r w:rsidRPr="00AC530C">
        <w:t>Prepared on Australian Accounting Standards basis.</w:t>
      </w:r>
    </w:p>
    <w:p w:rsidR="00313999" w:rsidRDefault="00DF50F4" w:rsidP="00E41681">
      <w:pPr>
        <w:pStyle w:val="ChartandTableFootnoteAlpha"/>
        <w:numPr>
          <w:ilvl w:val="0"/>
          <w:numId w:val="42"/>
        </w:numPr>
        <w:ind w:left="284"/>
        <w:jc w:val="left"/>
      </w:pPr>
      <w:r>
        <w:t>“Appropri</w:t>
      </w:r>
      <w:r w:rsidR="00F10C2B">
        <w:t xml:space="preserve">ation ordinary annual services” </w:t>
      </w:r>
      <w:r>
        <w:t xml:space="preserve">refers to funding provided through </w:t>
      </w:r>
      <w:r w:rsidRPr="009E2477">
        <w:rPr>
          <w:i/>
        </w:rPr>
        <w:t xml:space="preserve">Appropriation Act No.1 </w:t>
      </w:r>
      <w:r w:rsidR="001E169B" w:rsidRPr="009E2477">
        <w:rPr>
          <w:i/>
        </w:rPr>
        <w:br/>
      </w:r>
      <w:r w:rsidRPr="009E2477">
        <w:rPr>
          <w:i/>
        </w:rPr>
        <w:t>2018-19</w:t>
      </w:r>
      <w:r>
        <w:t xml:space="preserve"> and Bill (No.3) 2018-19 for depreciation and amortisation expenses, departmental capital budgets or other operational expenses.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sectPr w:rsidR="00313999" w:rsidSect="00E94D83">
      <w:headerReference w:type="even" r:id="rId14"/>
      <w:headerReference w:type="default" r:id="rId15"/>
      <w:footerReference w:type="default" r:id="rId16"/>
      <w:footerReference w:type="first" r:id="rId17"/>
      <w:type w:val="oddPage"/>
      <w:pgSz w:w="11907" w:h="16840" w:code="9"/>
      <w:pgMar w:top="2466" w:right="2098" w:bottom="2269" w:left="2098" w:header="1899" w:footer="1899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AA" w:rsidRDefault="009B69AA" w:rsidP="00F51DAC">
      <w:pPr>
        <w:spacing w:after="0" w:line="240" w:lineRule="auto"/>
      </w:pPr>
      <w:r>
        <w:separator/>
      </w:r>
    </w:p>
  </w:endnote>
  <w:endnote w:type="continuationSeparator" w:id="0">
    <w:p w:rsidR="009B69AA" w:rsidRDefault="009B69AA" w:rsidP="00F5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99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D83" w:rsidRDefault="00E94D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5CB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E94D83" w:rsidRDefault="00E94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002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D83" w:rsidRDefault="00E94D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E94D83" w:rsidRDefault="00E94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AA" w:rsidRDefault="009B69AA" w:rsidP="00F51DAC">
      <w:pPr>
        <w:spacing w:after="0" w:line="240" w:lineRule="auto"/>
      </w:pPr>
      <w:r>
        <w:separator/>
      </w:r>
    </w:p>
  </w:footnote>
  <w:footnote w:type="continuationSeparator" w:id="0">
    <w:p w:rsidR="009B69AA" w:rsidRDefault="009B69AA" w:rsidP="00F5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AA" w:rsidRPr="00BD1104" w:rsidRDefault="00E94D83">
    <w:pPr>
      <w:pStyle w:val="Header"/>
      <w:rPr>
        <w:lang w:val="en-AU"/>
      </w:rPr>
    </w:pPr>
    <w:r>
      <w:rPr>
        <w:lang w:val="en-AU"/>
      </w:rPr>
      <w:t>Office of the Director of Public Prosecutions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AA" w:rsidRDefault="00E94D83" w:rsidP="004C04CB">
    <w:pPr>
      <w:pStyle w:val="HeaderOdd"/>
    </w:pPr>
    <w:r>
      <w:t>Office of the Director of Public Prosecutions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978"/>
    <w:multiLevelType w:val="hybridMultilevel"/>
    <w:tmpl w:val="9406249A"/>
    <w:lvl w:ilvl="0" w:tplc="AE9C16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73B2B"/>
    <w:multiLevelType w:val="hybridMultilevel"/>
    <w:tmpl w:val="A2F4DC4C"/>
    <w:lvl w:ilvl="0" w:tplc="1424E55C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5041BA5"/>
    <w:multiLevelType w:val="hybridMultilevel"/>
    <w:tmpl w:val="E228DA0C"/>
    <w:lvl w:ilvl="0" w:tplc="951E13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D24C1"/>
    <w:multiLevelType w:val="hybridMultilevel"/>
    <w:tmpl w:val="82CEB93A"/>
    <w:lvl w:ilvl="0" w:tplc="762611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90C01"/>
    <w:multiLevelType w:val="hybridMultilevel"/>
    <w:tmpl w:val="03C4C542"/>
    <w:lvl w:ilvl="0" w:tplc="66AAEB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359F7"/>
    <w:multiLevelType w:val="hybridMultilevel"/>
    <w:tmpl w:val="57E09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4467"/>
    <w:multiLevelType w:val="hybridMultilevel"/>
    <w:tmpl w:val="B7744FFA"/>
    <w:lvl w:ilvl="0" w:tplc="A75636EE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02735A"/>
    <w:multiLevelType w:val="hybridMultilevel"/>
    <w:tmpl w:val="33FE213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0CCD3B57"/>
    <w:multiLevelType w:val="hybridMultilevel"/>
    <w:tmpl w:val="B39253F8"/>
    <w:lvl w:ilvl="0" w:tplc="FB8240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C42909"/>
    <w:multiLevelType w:val="multilevel"/>
    <w:tmpl w:val="753AC1FE"/>
    <w:name w:val="StandardBulletedList_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0" w15:restartNumberingAfterBreak="0">
    <w:nsid w:val="0F667B93"/>
    <w:multiLevelType w:val="hybridMultilevel"/>
    <w:tmpl w:val="B972FF3E"/>
    <w:lvl w:ilvl="0" w:tplc="096249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62FFB"/>
    <w:multiLevelType w:val="hybridMultilevel"/>
    <w:tmpl w:val="D9B4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782"/>
    <w:multiLevelType w:val="hybridMultilevel"/>
    <w:tmpl w:val="9800A1A8"/>
    <w:lvl w:ilvl="0" w:tplc="D2B065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B59AC"/>
    <w:multiLevelType w:val="hybridMultilevel"/>
    <w:tmpl w:val="BB8C7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A179E"/>
    <w:multiLevelType w:val="hybridMultilevel"/>
    <w:tmpl w:val="FCDAD3CE"/>
    <w:lvl w:ilvl="0" w:tplc="5B8A52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4218B"/>
    <w:multiLevelType w:val="hybridMultilevel"/>
    <w:tmpl w:val="C7CA2C5A"/>
    <w:lvl w:ilvl="0" w:tplc="1EC493C0">
      <w:start w:val="1"/>
      <w:numFmt w:val="lowerLetter"/>
      <w:lvlText w:val="(%1)"/>
      <w:lvlJc w:val="left"/>
      <w:pPr>
        <w:ind w:left="303" w:hanging="30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316C2C4D"/>
    <w:multiLevelType w:val="multilevel"/>
    <w:tmpl w:val="53041CA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183958"/>
    <w:multiLevelType w:val="hybridMultilevel"/>
    <w:tmpl w:val="F0AE0D2C"/>
    <w:lvl w:ilvl="0" w:tplc="33E2F4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D706C"/>
    <w:multiLevelType w:val="hybridMultilevel"/>
    <w:tmpl w:val="2F52B816"/>
    <w:lvl w:ilvl="0" w:tplc="D5408E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D1A98"/>
    <w:multiLevelType w:val="hybridMultilevel"/>
    <w:tmpl w:val="8DE076DE"/>
    <w:lvl w:ilvl="0" w:tplc="A54CE388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A39F4"/>
    <w:multiLevelType w:val="hybridMultilevel"/>
    <w:tmpl w:val="B972FF3E"/>
    <w:lvl w:ilvl="0" w:tplc="096249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E8215C"/>
    <w:multiLevelType w:val="hybridMultilevel"/>
    <w:tmpl w:val="9894FD0A"/>
    <w:lvl w:ilvl="0" w:tplc="C80610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5C7A89"/>
    <w:multiLevelType w:val="multilevel"/>
    <w:tmpl w:val="3FAC21B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121CC4"/>
    <w:multiLevelType w:val="hybridMultilevel"/>
    <w:tmpl w:val="1F185588"/>
    <w:lvl w:ilvl="0" w:tplc="A74CB0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33482E"/>
    <w:multiLevelType w:val="hybridMultilevel"/>
    <w:tmpl w:val="04849FB8"/>
    <w:lvl w:ilvl="0" w:tplc="C7F81B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E2FB4"/>
    <w:multiLevelType w:val="hybridMultilevel"/>
    <w:tmpl w:val="4CD27B34"/>
    <w:lvl w:ilvl="0" w:tplc="E3221D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404F7C"/>
    <w:multiLevelType w:val="hybridMultilevel"/>
    <w:tmpl w:val="E4C87D90"/>
    <w:lvl w:ilvl="0" w:tplc="32E027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16CC9"/>
    <w:multiLevelType w:val="hybridMultilevel"/>
    <w:tmpl w:val="DBA02662"/>
    <w:lvl w:ilvl="0" w:tplc="B17086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77EA1"/>
    <w:multiLevelType w:val="hybridMultilevel"/>
    <w:tmpl w:val="B28C1314"/>
    <w:lvl w:ilvl="0" w:tplc="D5F4A84A">
      <w:start w:val="1"/>
      <w:numFmt w:val="lowerLetter"/>
      <w:pStyle w:val="ChartandTableFootnoteAlpha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254EE"/>
    <w:multiLevelType w:val="hybridMultilevel"/>
    <w:tmpl w:val="2D70A9A4"/>
    <w:lvl w:ilvl="0" w:tplc="327412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C4736B"/>
    <w:multiLevelType w:val="hybridMultilevel"/>
    <w:tmpl w:val="DB46CB22"/>
    <w:lvl w:ilvl="0" w:tplc="E904FC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704C41"/>
    <w:multiLevelType w:val="hybridMultilevel"/>
    <w:tmpl w:val="DAEA0428"/>
    <w:lvl w:ilvl="0" w:tplc="6B3C38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C75CB0"/>
    <w:multiLevelType w:val="hybridMultilevel"/>
    <w:tmpl w:val="85F45646"/>
    <w:lvl w:ilvl="0" w:tplc="63EE1F64">
      <w:start w:val="1"/>
      <w:numFmt w:val="lowerLetter"/>
      <w:lvlText w:val="(%1)"/>
      <w:lvlJc w:val="left"/>
      <w:pPr>
        <w:ind w:left="-11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380" w:hanging="360"/>
      </w:pPr>
    </w:lvl>
    <w:lvl w:ilvl="2" w:tplc="0C09001B" w:tentative="1">
      <w:start w:val="1"/>
      <w:numFmt w:val="lowerRoman"/>
      <w:lvlText w:val="%3."/>
      <w:lvlJc w:val="right"/>
      <w:pPr>
        <w:ind w:left="340" w:hanging="180"/>
      </w:pPr>
    </w:lvl>
    <w:lvl w:ilvl="3" w:tplc="0C09000F" w:tentative="1">
      <w:start w:val="1"/>
      <w:numFmt w:val="decimal"/>
      <w:lvlText w:val="%4."/>
      <w:lvlJc w:val="left"/>
      <w:pPr>
        <w:ind w:left="1060" w:hanging="360"/>
      </w:pPr>
    </w:lvl>
    <w:lvl w:ilvl="4" w:tplc="0C090019" w:tentative="1">
      <w:start w:val="1"/>
      <w:numFmt w:val="lowerLetter"/>
      <w:lvlText w:val="%5."/>
      <w:lvlJc w:val="left"/>
      <w:pPr>
        <w:ind w:left="1780" w:hanging="360"/>
      </w:pPr>
    </w:lvl>
    <w:lvl w:ilvl="5" w:tplc="0C09001B" w:tentative="1">
      <w:start w:val="1"/>
      <w:numFmt w:val="lowerRoman"/>
      <w:lvlText w:val="%6."/>
      <w:lvlJc w:val="right"/>
      <w:pPr>
        <w:ind w:left="2500" w:hanging="180"/>
      </w:pPr>
    </w:lvl>
    <w:lvl w:ilvl="6" w:tplc="0C09000F" w:tentative="1">
      <w:start w:val="1"/>
      <w:numFmt w:val="decimal"/>
      <w:lvlText w:val="%7."/>
      <w:lvlJc w:val="left"/>
      <w:pPr>
        <w:ind w:left="3220" w:hanging="360"/>
      </w:pPr>
    </w:lvl>
    <w:lvl w:ilvl="7" w:tplc="0C090019" w:tentative="1">
      <w:start w:val="1"/>
      <w:numFmt w:val="lowerLetter"/>
      <w:lvlText w:val="%8."/>
      <w:lvlJc w:val="left"/>
      <w:pPr>
        <w:ind w:left="3940" w:hanging="360"/>
      </w:pPr>
    </w:lvl>
    <w:lvl w:ilvl="8" w:tplc="0C09001B" w:tentative="1">
      <w:start w:val="1"/>
      <w:numFmt w:val="lowerRoman"/>
      <w:lvlText w:val="%9."/>
      <w:lvlJc w:val="right"/>
      <w:pPr>
        <w:ind w:left="4660" w:hanging="180"/>
      </w:pPr>
    </w:lvl>
  </w:abstractNum>
  <w:abstractNum w:abstractNumId="33" w15:restartNumberingAfterBreak="0">
    <w:nsid w:val="79AB54E2"/>
    <w:multiLevelType w:val="hybridMultilevel"/>
    <w:tmpl w:val="DFCE5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33FBD"/>
    <w:multiLevelType w:val="hybridMultilevel"/>
    <w:tmpl w:val="912AA302"/>
    <w:lvl w:ilvl="0" w:tplc="CA304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91316"/>
    <w:multiLevelType w:val="hybridMultilevel"/>
    <w:tmpl w:val="60C4D988"/>
    <w:lvl w:ilvl="0" w:tplc="FD483E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06D12"/>
    <w:multiLevelType w:val="hybridMultilevel"/>
    <w:tmpl w:val="7EBC7624"/>
    <w:lvl w:ilvl="0" w:tplc="4F528E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C507A5"/>
    <w:multiLevelType w:val="hybridMultilevel"/>
    <w:tmpl w:val="56186E64"/>
    <w:lvl w:ilvl="0" w:tplc="73A267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8"/>
    <w:lvlOverride w:ilvl="0">
      <w:startOverride w:val="1"/>
    </w:lvlOverride>
  </w:num>
  <w:num w:numId="4">
    <w:abstractNumId w:val="29"/>
  </w:num>
  <w:num w:numId="5">
    <w:abstractNumId w:val="19"/>
  </w:num>
  <w:num w:numId="6">
    <w:abstractNumId w:val="5"/>
  </w:num>
  <w:num w:numId="7">
    <w:abstractNumId w:val="4"/>
  </w:num>
  <w:num w:numId="8">
    <w:abstractNumId w:val="10"/>
  </w:num>
  <w:num w:numId="9">
    <w:abstractNumId w:val="21"/>
  </w:num>
  <w:num w:numId="10">
    <w:abstractNumId w:val="0"/>
  </w:num>
  <w:num w:numId="11">
    <w:abstractNumId w:val="13"/>
  </w:num>
  <w:num w:numId="12">
    <w:abstractNumId w:val="30"/>
  </w:num>
  <w:num w:numId="13">
    <w:abstractNumId w:val="22"/>
  </w:num>
  <w:num w:numId="14">
    <w:abstractNumId w:val="7"/>
  </w:num>
  <w:num w:numId="15">
    <w:abstractNumId w:val="25"/>
  </w:num>
  <w:num w:numId="16">
    <w:abstractNumId w:val="6"/>
  </w:num>
  <w:num w:numId="17">
    <w:abstractNumId w:val="17"/>
  </w:num>
  <w:num w:numId="18">
    <w:abstractNumId w:val="1"/>
  </w:num>
  <w:num w:numId="19">
    <w:abstractNumId w:val="28"/>
    <w:lvlOverride w:ilvl="0">
      <w:startOverride w:val="1"/>
    </w:lvlOverride>
  </w:num>
  <w:num w:numId="20">
    <w:abstractNumId w:val="20"/>
  </w:num>
  <w:num w:numId="21">
    <w:abstractNumId w:val="28"/>
    <w:lvlOverride w:ilvl="0">
      <w:startOverride w:val="1"/>
    </w:lvlOverride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37"/>
  </w:num>
  <w:num w:numId="31">
    <w:abstractNumId w:val="33"/>
  </w:num>
  <w:num w:numId="32">
    <w:abstractNumId w:val="15"/>
  </w:num>
  <w:num w:numId="33">
    <w:abstractNumId w:val="3"/>
  </w:num>
  <w:num w:numId="34">
    <w:abstractNumId w:val="28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11"/>
  </w:num>
  <w:num w:numId="39">
    <w:abstractNumId w:val="14"/>
  </w:num>
  <w:num w:numId="40">
    <w:abstractNumId w:val="8"/>
  </w:num>
  <w:num w:numId="41">
    <w:abstractNumId w:val="31"/>
  </w:num>
  <w:num w:numId="42">
    <w:abstractNumId w:val="36"/>
  </w:num>
  <w:num w:numId="43">
    <w:abstractNumId w:val="28"/>
    <w:lvlOverride w:ilvl="0">
      <w:startOverride w:val="1"/>
    </w:lvlOverride>
  </w:num>
  <w:num w:numId="44">
    <w:abstractNumId w:val="28"/>
    <w:lvlOverride w:ilvl="0">
      <w:startOverride w:val="1"/>
    </w:lvlOverride>
  </w:num>
  <w:num w:numId="45">
    <w:abstractNumId w:val="28"/>
    <w:lvlOverride w:ilvl="0">
      <w:startOverride w:val="1"/>
    </w:lvlOverride>
  </w:num>
  <w:num w:numId="46">
    <w:abstractNumId w:val="28"/>
    <w:lvlOverride w:ilvl="0">
      <w:startOverride w:val="1"/>
    </w:lvlOverride>
  </w:num>
  <w:num w:numId="47">
    <w:abstractNumId w:val="26"/>
  </w:num>
  <w:num w:numId="48">
    <w:abstractNumId w:val="24"/>
  </w:num>
  <w:num w:numId="49">
    <w:abstractNumId w:val="27"/>
  </w:num>
  <w:num w:numId="50">
    <w:abstractNumId w:val="35"/>
  </w:num>
  <w:num w:numId="51">
    <w:abstractNumId w:val="34"/>
  </w:num>
  <w:num w:numId="52">
    <w:abstractNumId w:val="2"/>
  </w:num>
  <w:num w:numId="53">
    <w:abstractNumId w:val="23"/>
  </w:num>
  <w:num w:numId="54">
    <w:abstractNumId w:val="12"/>
  </w:num>
  <w:num w:numId="55">
    <w:abstractNumId w:val="32"/>
  </w:num>
  <w:num w:numId="56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AC"/>
    <w:rsid w:val="00003077"/>
    <w:rsid w:val="00004333"/>
    <w:rsid w:val="00004CE4"/>
    <w:rsid w:val="00005E29"/>
    <w:rsid w:val="00007854"/>
    <w:rsid w:val="00007B03"/>
    <w:rsid w:val="000267FC"/>
    <w:rsid w:val="00031208"/>
    <w:rsid w:val="00034F19"/>
    <w:rsid w:val="000365F6"/>
    <w:rsid w:val="00037677"/>
    <w:rsid w:val="0004015F"/>
    <w:rsid w:val="0004091B"/>
    <w:rsid w:val="00050FE6"/>
    <w:rsid w:val="00052CB7"/>
    <w:rsid w:val="00065897"/>
    <w:rsid w:val="000662DC"/>
    <w:rsid w:val="000663E4"/>
    <w:rsid w:val="00066C8B"/>
    <w:rsid w:val="00070E92"/>
    <w:rsid w:val="000715CB"/>
    <w:rsid w:val="0007721A"/>
    <w:rsid w:val="00081A0B"/>
    <w:rsid w:val="0008303E"/>
    <w:rsid w:val="0008347E"/>
    <w:rsid w:val="00084EF4"/>
    <w:rsid w:val="0009010F"/>
    <w:rsid w:val="0009192F"/>
    <w:rsid w:val="00094E1F"/>
    <w:rsid w:val="00097F41"/>
    <w:rsid w:val="000A2841"/>
    <w:rsid w:val="000A3249"/>
    <w:rsid w:val="000B5080"/>
    <w:rsid w:val="000B5844"/>
    <w:rsid w:val="000B70F2"/>
    <w:rsid w:val="000C0433"/>
    <w:rsid w:val="000C3374"/>
    <w:rsid w:val="000C68C0"/>
    <w:rsid w:val="000C6C70"/>
    <w:rsid w:val="000C75B7"/>
    <w:rsid w:val="000D06B5"/>
    <w:rsid w:val="000D289E"/>
    <w:rsid w:val="000D61FC"/>
    <w:rsid w:val="000D6DEF"/>
    <w:rsid w:val="000D7280"/>
    <w:rsid w:val="000E1BA0"/>
    <w:rsid w:val="000E33CD"/>
    <w:rsid w:val="000E596C"/>
    <w:rsid w:val="000F3509"/>
    <w:rsid w:val="000F37E6"/>
    <w:rsid w:val="000F6716"/>
    <w:rsid w:val="001000AA"/>
    <w:rsid w:val="0010082F"/>
    <w:rsid w:val="00101CF4"/>
    <w:rsid w:val="0010221E"/>
    <w:rsid w:val="00106558"/>
    <w:rsid w:val="00107F3E"/>
    <w:rsid w:val="001130AC"/>
    <w:rsid w:val="00114E90"/>
    <w:rsid w:val="00123BFB"/>
    <w:rsid w:val="00126251"/>
    <w:rsid w:val="001268F7"/>
    <w:rsid w:val="00135C33"/>
    <w:rsid w:val="0013756B"/>
    <w:rsid w:val="00137600"/>
    <w:rsid w:val="001436E5"/>
    <w:rsid w:val="00147274"/>
    <w:rsid w:val="001546BB"/>
    <w:rsid w:val="00155A38"/>
    <w:rsid w:val="00165D31"/>
    <w:rsid w:val="00166AB8"/>
    <w:rsid w:val="001744B6"/>
    <w:rsid w:val="00176054"/>
    <w:rsid w:val="001779AF"/>
    <w:rsid w:val="00182D70"/>
    <w:rsid w:val="0018719D"/>
    <w:rsid w:val="00192802"/>
    <w:rsid w:val="0019340E"/>
    <w:rsid w:val="00194C41"/>
    <w:rsid w:val="00195563"/>
    <w:rsid w:val="001961F0"/>
    <w:rsid w:val="001A186D"/>
    <w:rsid w:val="001A1C55"/>
    <w:rsid w:val="001A5BB8"/>
    <w:rsid w:val="001B1E37"/>
    <w:rsid w:val="001C5388"/>
    <w:rsid w:val="001C53F2"/>
    <w:rsid w:val="001C7715"/>
    <w:rsid w:val="001D0F8C"/>
    <w:rsid w:val="001D1D26"/>
    <w:rsid w:val="001D4659"/>
    <w:rsid w:val="001D491D"/>
    <w:rsid w:val="001D69F7"/>
    <w:rsid w:val="001E169B"/>
    <w:rsid w:val="001E1715"/>
    <w:rsid w:val="001E1BB6"/>
    <w:rsid w:val="001E2260"/>
    <w:rsid w:val="001E4A2D"/>
    <w:rsid w:val="001E7D76"/>
    <w:rsid w:val="001F0092"/>
    <w:rsid w:val="001F31DE"/>
    <w:rsid w:val="001F46A6"/>
    <w:rsid w:val="001F766E"/>
    <w:rsid w:val="001F7D98"/>
    <w:rsid w:val="002129D0"/>
    <w:rsid w:val="00213A28"/>
    <w:rsid w:val="00221A5A"/>
    <w:rsid w:val="00223058"/>
    <w:rsid w:val="0022327D"/>
    <w:rsid w:val="002249BF"/>
    <w:rsid w:val="0022701C"/>
    <w:rsid w:val="00230083"/>
    <w:rsid w:val="002322E9"/>
    <w:rsid w:val="00233AE8"/>
    <w:rsid w:val="002354AC"/>
    <w:rsid w:val="002406AD"/>
    <w:rsid w:val="00240C91"/>
    <w:rsid w:val="0024247A"/>
    <w:rsid w:val="00242560"/>
    <w:rsid w:val="00243A1A"/>
    <w:rsid w:val="00244E40"/>
    <w:rsid w:val="00246884"/>
    <w:rsid w:val="00250F15"/>
    <w:rsid w:val="00252DC2"/>
    <w:rsid w:val="00270269"/>
    <w:rsid w:val="002711F6"/>
    <w:rsid w:val="00272B20"/>
    <w:rsid w:val="00273E70"/>
    <w:rsid w:val="00273ECE"/>
    <w:rsid w:val="00274EB3"/>
    <w:rsid w:val="00276B3F"/>
    <w:rsid w:val="00280429"/>
    <w:rsid w:val="0028230B"/>
    <w:rsid w:val="00282E6D"/>
    <w:rsid w:val="00286697"/>
    <w:rsid w:val="00286F54"/>
    <w:rsid w:val="00287924"/>
    <w:rsid w:val="00294BCA"/>
    <w:rsid w:val="002A14ED"/>
    <w:rsid w:val="002A2A2C"/>
    <w:rsid w:val="002A70ED"/>
    <w:rsid w:val="002C2651"/>
    <w:rsid w:val="002C48C5"/>
    <w:rsid w:val="002C505F"/>
    <w:rsid w:val="002D1B14"/>
    <w:rsid w:val="002D5545"/>
    <w:rsid w:val="002D69C3"/>
    <w:rsid w:val="002E474B"/>
    <w:rsid w:val="002E5E71"/>
    <w:rsid w:val="002F36D9"/>
    <w:rsid w:val="00304E76"/>
    <w:rsid w:val="00306FF4"/>
    <w:rsid w:val="00307A5C"/>
    <w:rsid w:val="00313999"/>
    <w:rsid w:val="003203F2"/>
    <w:rsid w:val="00323672"/>
    <w:rsid w:val="00327424"/>
    <w:rsid w:val="003336A6"/>
    <w:rsid w:val="00333EF1"/>
    <w:rsid w:val="00336EAC"/>
    <w:rsid w:val="00337167"/>
    <w:rsid w:val="0034347C"/>
    <w:rsid w:val="00345F78"/>
    <w:rsid w:val="0035086F"/>
    <w:rsid w:val="00351674"/>
    <w:rsid w:val="003553EB"/>
    <w:rsid w:val="00356D02"/>
    <w:rsid w:val="00362105"/>
    <w:rsid w:val="0036285B"/>
    <w:rsid w:val="0036637F"/>
    <w:rsid w:val="00370629"/>
    <w:rsid w:val="00371CA8"/>
    <w:rsid w:val="003756BD"/>
    <w:rsid w:val="003811C1"/>
    <w:rsid w:val="003829CC"/>
    <w:rsid w:val="00390354"/>
    <w:rsid w:val="0039195F"/>
    <w:rsid w:val="00391CDB"/>
    <w:rsid w:val="0039259E"/>
    <w:rsid w:val="003962BF"/>
    <w:rsid w:val="00396EDD"/>
    <w:rsid w:val="00397AD9"/>
    <w:rsid w:val="003A1C3B"/>
    <w:rsid w:val="003A3075"/>
    <w:rsid w:val="003A4466"/>
    <w:rsid w:val="003B7884"/>
    <w:rsid w:val="003C0E26"/>
    <w:rsid w:val="003C2573"/>
    <w:rsid w:val="003C5C6A"/>
    <w:rsid w:val="003D387D"/>
    <w:rsid w:val="003D6215"/>
    <w:rsid w:val="003E364D"/>
    <w:rsid w:val="003E4BAB"/>
    <w:rsid w:val="003E5422"/>
    <w:rsid w:val="003F1BE0"/>
    <w:rsid w:val="003F759E"/>
    <w:rsid w:val="003F7790"/>
    <w:rsid w:val="004004C7"/>
    <w:rsid w:val="00401D29"/>
    <w:rsid w:val="00402115"/>
    <w:rsid w:val="004033E0"/>
    <w:rsid w:val="00404596"/>
    <w:rsid w:val="004153A4"/>
    <w:rsid w:val="00416F50"/>
    <w:rsid w:val="00420013"/>
    <w:rsid w:val="00421D77"/>
    <w:rsid w:val="00422025"/>
    <w:rsid w:val="00422E0D"/>
    <w:rsid w:val="0042389B"/>
    <w:rsid w:val="004249BD"/>
    <w:rsid w:val="0042737D"/>
    <w:rsid w:val="00430179"/>
    <w:rsid w:val="004464F6"/>
    <w:rsid w:val="004465BA"/>
    <w:rsid w:val="00447F22"/>
    <w:rsid w:val="00447FEF"/>
    <w:rsid w:val="004503FA"/>
    <w:rsid w:val="00454E2E"/>
    <w:rsid w:val="00455218"/>
    <w:rsid w:val="00456A63"/>
    <w:rsid w:val="004600AE"/>
    <w:rsid w:val="00470D18"/>
    <w:rsid w:val="004712B7"/>
    <w:rsid w:val="004726ED"/>
    <w:rsid w:val="00484590"/>
    <w:rsid w:val="00484CB3"/>
    <w:rsid w:val="00486038"/>
    <w:rsid w:val="0048620D"/>
    <w:rsid w:val="004927A7"/>
    <w:rsid w:val="004961D4"/>
    <w:rsid w:val="004A183D"/>
    <w:rsid w:val="004A2942"/>
    <w:rsid w:val="004A524E"/>
    <w:rsid w:val="004A541E"/>
    <w:rsid w:val="004A5D4C"/>
    <w:rsid w:val="004B31C5"/>
    <w:rsid w:val="004B4149"/>
    <w:rsid w:val="004B60B9"/>
    <w:rsid w:val="004C04CB"/>
    <w:rsid w:val="004C0BD7"/>
    <w:rsid w:val="004C4F3E"/>
    <w:rsid w:val="004D3886"/>
    <w:rsid w:val="004D3E2B"/>
    <w:rsid w:val="004D46D7"/>
    <w:rsid w:val="004D70FE"/>
    <w:rsid w:val="004E017C"/>
    <w:rsid w:val="004E1872"/>
    <w:rsid w:val="004E3104"/>
    <w:rsid w:val="004E4187"/>
    <w:rsid w:val="004F14E4"/>
    <w:rsid w:val="004F7032"/>
    <w:rsid w:val="00500554"/>
    <w:rsid w:val="00502B76"/>
    <w:rsid w:val="005042A4"/>
    <w:rsid w:val="00504604"/>
    <w:rsid w:val="00504891"/>
    <w:rsid w:val="00512831"/>
    <w:rsid w:val="0051350D"/>
    <w:rsid w:val="005151B0"/>
    <w:rsid w:val="00515F4B"/>
    <w:rsid w:val="00520ECC"/>
    <w:rsid w:val="0052227C"/>
    <w:rsid w:val="00523531"/>
    <w:rsid w:val="005269F0"/>
    <w:rsid w:val="00533B16"/>
    <w:rsid w:val="00541613"/>
    <w:rsid w:val="00541BE0"/>
    <w:rsid w:val="005433AF"/>
    <w:rsid w:val="00543489"/>
    <w:rsid w:val="00545927"/>
    <w:rsid w:val="00547016"/>
    <w:rsid w:val="00547069"/>
    <w:rsid w:val="00550253"/>
    <w:rsid w:val="00552630"/>
    <w:rsid w:val="00552885"/>
    <w:rsid w:val="00554273"/>
    <w:rsid w:val="005554F9"/>
    <w:rsid w:val="00557137"/>
    <w:rsid w:val="00564C0F"/>
    <w:rsid w:val="005724F4"/>
    <w:rsid w:val="005739DE"/>
    <w:rsid w:val="00574D0D"/>
    <w:rsid w:val="00575269"/>
    <w:rsid w:val="00575C2E"/>
    <w:rsid w:val="005762FE"/>
    <w:rsid w:val="00584EEB"/>
    <w:rsid w:val="005852E3"/>
    <w:rsid w:val="005866EE"/>
    <w:rsid w:val="005916C3"/>
    <w:rsid w:val="00593B0B"/>
    <w:rsid w:val="00596C82"/>
    <w:rsid w:val="005A4A29"/>
    <w:rsid w:val="005A698A"/>
    <w:rsid w:val="005B1BC8"/>
    <w:rsid w:val="005B1F84"/>
    <w:rsid w:val="005B2FBA"/>
    <w:rsid w:val="005B3016"/>
    <w:rsid w:val="005B3509"/>
    <w:rsid w:val="005B3EA0"/>
    <w:rsid w:val="005B4DA3"/>
    <w:rsid w:val="005B574A"/>
    <w:rsid w:val="005C144A"/>
    <w:rsid w:val="005C2759"/>
    <w:rsid w:val="005D0EAB"/>
    <w:rsid w:val="005D2ECC"/>
    <w:rsid w:val="005D48A6"/>
    <w:rsid w:val="005D73BF"/>
    <w:rsid w:val="005D78DB"/>
    <w:rsid w:val="005E156A"/>
    <w:rsid w:val="005F2824"/>
    <w:rsid w:val="005F375D"/>
    <w:rsid w:val="005F384B"/>
    <w:rsid w:val="005F3DC1"/>
    <w:rsid w:val="005F6D5F"/>
    <w:rsid w:val="00600A09"/>
    <w:rsid w:val="00601A87"/>
    <w:rsid w:val="006022FC"/>
    <w:rsid w:val="00604CCB"/>
    <w:rsid w:val="00607155"/>
    <w:rsid w:val="00610DD2"/>
    <w:rsid w:val="00611A1C"/>
    <w:rsid w:val="00611F42"/>
    <w:rsid w:val="00617C2B"/>
    <w:rsid w:val="006223A7"/>
    <w:rsid w:val="00622A38"/>
    <w:rsid w:val="00623714"/>
    <w:rsid w:val="00623721"/>
    <w:rsid w:val="00623D96"/>
    <w:rsid w:val="0062623E"/>
    <w:rsid w:val="00626AFD"/>
    <w:rsid w:val="0063528A"/>
    <w:rsid w:val="0064123B"/>
    <w:rsid w:val="00642EC1"/>
    <w:rsid w:val="00643B7D"/>
    <w:rsid w:val="006447EE"/>
    <w:rsid w:val="006465A9"/>
    <w:rsid w:val="006479EE"/>
    <w:rsid w:val="00650545"/>
    <w:rsid w:val="006514FF"/>
    <w:rsid w:val="006579E5"/>
    <w:rsid w:val="006641EE"/>
    <w:rsid w:val="006665FC"/>
    <w:rsid w:val="00674914"/>
    <w:rsid w:val="00674FF1"/>
    <w:rsid w:val="00682961"/>
    <w:rsid w:val="00686F5C"/>
    <w:rsid w:val="0068792B"/>
    <w:rsid w:val="006916F5"/>
    <w:rsid w:val="006930EB"/>
    <w:rsid w:val="00693269"/>
    <w:rsid w:val="006A1464"/>
    <w:rsid w:val="006A2FB6"/>
    <w:rsid w:val="006A362E"/>
    <w:rsid w:val="006A4182"/>
    <w:rsid w:val="006A5588"/>
    <w:rsid w:val="006A5C32"/>
    <w:rsid w:val="006B3603"/>
    <w:rsid w:val="006B79A1"/>
    <w:rsid w:val="006C4D86"/>
    <w:rsid w:val="006C7610"/>
    <w:rsid w:val="006E2555"/>
    <w:rsid w:val="006E26A4"/>
    <w:rsid w:val="006E4CE9"/>
    <w:rsid w:val="006E7940"/>
    <w:rsid w:val="006E7A51"/>
    <w:rsid w:val="006E7CCA"/>
    <w:rsid w:val="006F19D3"/>
    <w:rsid w:val="006F23BE"/>
    <w:rsid w:val="006F4FF8"/>
    <w:rsid w:val="006F7895"/>
    <w:rsid w:val="007008EC"/>
    <w:rsid w:val="00701B3C"/>
    <w:rsid w:val="00705DF7"/>
    <w:rsid w:val="00706A98"/>
    <w:rsid w:val="00706C4D"/>
    <w:rsid w:val="0071086F"/>
    <w:rsid w:val="00710B72"/>
    <w:rsid w:val="00711AD3"/>
    <w:rsid w:val="00715963"/>
    <w:rsid w:val="00725558"/>
    <w:rsid w:val="00726A60"/>
    <w:rsid w:val="00733403"/>
    <w:rsid w:val="007356B6"/>
    <w:rsid w:val="0073762B"/>
    <w:rsid w:val="00742CB6"/>
    <w:rsid w:val="0075306B"/>
    <w:rsid w:val="00754E60"/>
    <w:rsid w:val="0075500F"/>
    <w:rsid w:val="0075570B"/>
    <w:rsid w:val="00755EB5"/>
    <w:rsid w:val="007644BB"/>
    <w:rsid w:val="0076466B"/>
    <w:rsid w:val="007651FA"/>
    <w:rsid w:val="0076711B"/>
    <w:rsid w:val="0077308A"/>
    <w:rsid w:val="00776CAC"/>
    <w:rsid w:val="0078466D"/>
    <w:rsid w:val="007853AD"/>
    <w:rsid w:val="007962C6"/>
    <w:rsid w:val="007963D7"/>
    <w:rsid w:val="00797BBD"/>
    <w:rsid w:val="00797E8B"/>
    <w:rsid w:val="007A09A7"/>
    <w:rsid w:val="007A29F8"/>
    <w:rsid w:val="007A369D"/>
    <w:rsid w:val="007A46ED"/>
    <w:rsid w:val="007A4FF5"/>
    <w:rsid w:val="007B07FB"/>
    <w:rsid w:val="007B1343"/>
    <w:rsid w:val="007B4EA6"/>
    <w:rsid w:val="007B59FB"/>
    <w:rsid w:val="007C031A"/>
    <w:rsid w:val="007C521E"/>
    <w:rsid w:val="007D18F8"/>
    <w:rsid w:val="007D25AD"/>
    <w:rsid w:val="007D49E4"/>
    <w:rsid w:val="007D5358"/>
    <w:rsid w:val="007E15DB"/>
    <w:rsid w:val="007E3A67"/>
    <w:rsid w:val="007E57CC"/>
    <w:rsid w:val="007F1B6A"/>
    <w:rsid w:val="007F4043"/>
    <w:rsid w:val="007F4DD1"/>
    <w:rsid w:val="007F742F"/>
    <w:rsid w:val="007F7756"/>
    <w:rsid w:val="00800904"/>
    <w:rsid w:val="00801D0C"/>
    <w:rsid w:val="00805947"/>
    <w:rsid w:val="00805D3A"/>
    <w:rsid w:val="00810DB8"/>
    <w:rsid w:val="00813025"/>
    <w:rsid w:val="00814DB7"/>
    <w:rsid w:val="00815915"/>
    <w:rsid w:val="0082225F"/>
    <w:rsid w:val="008251FF"/>
    <w:rsid w:val="008252CB"/>
    <w:rsid w:val="0083015C"/>
    <w:rsid w:val="00835DDC"/>
    <w:rsid w:val="00842C17"/>
    <w:rsid w:val="00845E3E"/>
    <w:rsid w:val="0085031C"/>
    <w:rsid w:val="0085098A"/>
    <w:rsid w:val="00852752"/>
    <w:rsid w:val="00852F42"/>
    <w:rsid w:val="00863373"/>
    <w:rsid w:val="00864810"/>
    <w:rsid w:val="008712FF"/>
    <w:rsid w:val="00871C50"/>
    <w:rsid w:val="00881556"/>
    <w:rsid w:val="00883E65"/>
    <w:rsid w:val="008846DB"/>
    <w:rsid w:val="00887432"/>
    <w:rsid w:val="00896C2F"/>
    <w:rsid w:val="008978C7"/>
    <w:rsid w:val="008A0393"/>
    <w:rsid w:val="008A43F2"/>
    <w:rsid w:val="008A5F47"/>
    <w:rsid w:val="008A753F"/>
    <w:rsid w:val="008B62EC"/>
    <w:rsid w:val="008B7C04"/>
    <w:rsid w:val="008C521E"/>
    <w:rsid w:val="008C6964"/>
    <w:rsid w:val="008D30B9"/>
    <w:rsid w:val="008D3959"/>
    <w:rsid w:val="008D4221"/>
    <w:rsid w:val="008D4F88"/>
    <w:rsid w:val="008D6A75"/>
    <w:rsid w:val="008E15E2"/>
    <w:rsid w:val="008E728F"/>
    <w:rsid w:val="008F754F"/>
    <w:rsid w:val="0090206F"/>
    <w:rsid w:val="0091067B"/>
    <w:rsid w:val="009111C4"/>
    <w:rsid w:val="009138A0"/>
    <w:rsid w:val="00913A7A"/>
    <w:rsid w:val="00917B6D"/>
    <w:rsid w:val="009223F8"/>
    <w:rsid w:val="0092364A"/>
    <w:rsid w:val="0092657C"/>
    <w:rsid w:val="00931A3B"/>
    <w:rsid w:val="00931DE0"/>
    <w:rsid w:val="009335FC"/>
    <w:rsid w:val="00936B35"/>
    <w:rsid w:val="00941438"/>
    <w:rsid w:val="00945357"/>
    <w:rsid w:val="0095283F"/>
    <w:rsid w:val="00953558"/>
    <w:rsid w:val="00954B7B"/>
    <w:rsid w:val="00960353"/>
    <w:rsid w:val="00966AA9"/>
    <w:rsid w:val="0096764F"/>
    <w:rsid w:val="009758F8"/>
    <w:rsid w:val="00976C31"/>
    <w:rsid w:val="00977DD5"/>
    <w:rsid w:val="00980B2C"/>
    <w:rsid w:val="00980F8F"/>
    <w:rsid w:val="00982760"/>
    <w:rsid w:val="0098679C"/>
    <w:rsid w:val="0099416C"/>
    <w:rsid w:val="009950B5"/>
    <w:rsid w:val="00995A6E"/>
    <w:rsid w:val="009A4D07"/>
    <w:rsid w:val="009A79C1"/>
    <w:rsid w:val="009B4F32"/>
    <w:rsid w:val="009B51A2"/>
    <w:rsid w:val="009B5F07"/>
    <w:rsid w:val="009B69AA"/>
    <w:rsid w:val="009B6CA0"/>
    <w:rsid w:val="009C33E9"/>
    <w:rsid w:val="009C5015"/>
    <w:rsid w:val="009D0A3D"/>
    <w:rsid w:val="009D2566"/>
    <w:rsid w:val="009D4599"/>
    <w:rsid w:val="009D4B20"/>
    <w:rsid w:val="009D54F9"/>
    <w:rsid w:val="009D5FE2"/>
    <w:rsid w:val="009D76DE"/>
    <w:rsid w:val="009E2477"/>
    <w:rsid w:val="009E512C"/>
    <w:rsid w:val="009E5300"/>
    <w:rsid w:val="009E6C51"/>
    <w:rsid w:val="009F015F"/>
    <w:rsid w:val="009F363C"/>
    <w:rsid w:val="009F5CC1"/>
    <w:rsid w:val="00A073FD"/>
    <w:rsid w:val="00A0768C"/>
    <w:rsid w:val="00A10F6A"/>
    <w:rsid w:val="00A110CB"/>
    <w:rsid w:val="00A1234B"/>
    <w:rsid w:val="00A1545A"/>
    <w:rsid w:val="00A156A3"/>
    <w:rsid w:val="00A24674"/>
    <w:rsid w:val="00A25E7B"/>
    <w:rsid w:val="00A3097B"/>
    <w:rsid w:val="00A309AA"/>
    <w:rsid w:val="00A32C0D"/>
    <w:rsid w:val="00A357EB"/>
    <w:rsid w:val="00A40EBD"/>
    <w:rsid w:val="00A54161"/>
    <w:rsid w:val="00A55F1D"/>
    <w:rsid w:val="00A577E7"/>
    <w:rsid w:val="00A61DFC"/>
    <w:rsid w:val="00A64635"/>
    <w:rsid w:val="00A64BF1"/>
    <w:rsid w:val="00A657FF"/>
    <w:rsid w:val="00A7055A"/>
    <w:rsid w:val="00A70CE4"/>
    <w:rsid w:val="00A71499"/>
    <w:rsid w:val="00A71B28"/>
    <w:rsid w:val="00A804ED"/>
    <w:rsid w:val="00A81944"/>
    <w:rsid w:val="00A81E21"/>
    <w:rsid w:val="00A84050"/>
    <w:rsid w:val="00A87546"/>
    <w:rsid w:val="00A9394D"/>
    <w:rsid w:val="00A93C8E"/>
    <w:rsid w:val="00A94F3F"/>
    <w:rsid w:val="00A953E0"/>
    <w:rsid w:val="00AA5656"/>
    <w:rsid w:val="00AB205D"/>
    <w:rsid w:val="00AB2DC2"/>
    <w:rsid w:val="00AB2F5F"/>
    <w:rsid w:val="00AC2264"/>
    <w:rsid w:val="00AC32A4"/>
    <w:rsid w:val="00AC331E"/>
    <w:rsid w:val="00AC530C"/>
    <w:rsid w:val="00AC537F"/>
    <w:rsid w:val="00AD0787"/>
    <w:rsid w:val="00AD1826"/>
    <w:rsid w:val="00AE22AB"/>
    <w:rsid w:val="00AE29BE"/>
    <w:rsid w:val="00AE6133"/>
    <w:rsid w:val="00AE7172"/>
    <w:rsid w:val="00AF18AD"/>
    <w:rsid w:val="00AF1AC3"/>
    <w:rsid w:val="00AF2DC9"/>
    <w:rsid w:val="00AF309F"/>
    <w:rsid w:val="00AF3991"/>
    <w:rsid w:val="00AF489C"/>
    <w:rsid w:val="00B048A7"/>
    <w:rsid w:val="00B07921"/>
    <w:rsid w:val="00B10008"/>
    <w:rsid w:val="00B12ED5"/>
    <w:rsid w:val="00B133E0"/>
    <w:rsid w:val="00B13D65"/>
    <w:rsid w:val="00B20323"/>
    <w:rsid w:val="00B208BE"/>
    <w:rsid w:val="00B22435"/>
    <w:rsid w:val="00B23132"/>
    <w:rsid w:val="00B23D94"/>
    <w:rsid w:val="00B23E07"/>
    <w:rsid w:val="00B3505B"/>
    <w:rsid w:val="00B40DFE"/>
    <w:rsid w:val="00B43532"/>
    <w:rsid w:val="00B50972"/>
    <w:rsid w:val="00B55D66"/>
    <w:rsid w:val="00B567F0"/>
    <w:rsid w:val="00B57EC6"/>
    <w:rsid w:val="00B60748"/>
    <w:rsid w:val="00B615B6"/>
    <w:rsid w:val="00B62847"/>
    <w:rsid w:val="00B64E47"/>
    <w:rsid w:val="00B728E5"/>
    <w:rsid w:val="00B7550E"/>
    <w:rsid w:val="00B808E9"/>
    <w:rsid w:val="00B80993"/>
    <w:rsid w:val="00B82E6F"/>
    <w:rsid w:val="00B83831"/>
    <w:rsid w:val="00B908BF"/>
    <w:rsid w:val="00B94BE6"/>
    <w:rsid w:val="00B95629"/>
    <w:rsid w:val="00B9586F"/>
    <w:rsid w:val="00BA1B7B"/>
    <w:rsid w:val="00BA60CC"/>
    <w:rsid w:val="00BA764F"/>
    <w:rsid w:val="00BA7716"/>
    <w:rsid w:val="00BA7825"/>
    <w:rsid w:val="00BB60DD"/>
    <w:rsid w:val="00BC1334"/>
    <w:rsid w:val="00BC16CB"/>
    <w:rsid w:val="00BD1104"/>
    <w:rsid w:val="00BD3FDE"/>
    <w:rsid w:val="00BD48EE"/>
    <w:rsid w:val="00BD507F"/>
    <w:rsid w:val="00BE0F28"/>
    <w:rsid w:val="00BE1A2C"/>
    <w:rsid w:val="00BE31AF"/>
    <w:rsid w:val="00BF3FAD"/>
    <w:rsid w:val="00BF478F"/>
    <w:rsid w:val="00BF5E8A"/>
    <w:rsid w:val="00BF696F"/>
    <w:rsid w:val="00C05D7E"/>
    <w:rsid w:val="00C10DE5"/>
    <w:rsid w:val="00C11FBD"/>
    <w:rsid w:val="00C12363"/>
    <w:rsid w:val="00C12CE2"/>
    <w:rsid w:val="00C14D1B"/>
    <w:rsid w:val="00C20167"/>
    <w:rsid w:val="00C2199C"/>
    <w:rsid w:val="00C21F25"/>
    <w:rsid w:val="00C22EF2"/>
    <w:rsid w:val="00C24F1D"/>
    <w:rsid w:val="00C264AC"/>
    <w:rsid w:val="00C33583"/>
    <w:rsid w:val="00C33871"/>
    <w:rsid w:val="00C42434"/>
    <w:rsid w:val="00C46874"/>
    <w:rsid w:val="00C47491"/>
    <w:rsid w:val="00C47C8B"/>
    <w:rsid w:val="00C50FF7"/>
    <w:rsid w:val="00C56C83"/>
    <w:rsid w:val="00C61E74"/>
    <w:rsid w:val="00C66148"/>
    <w:rsid w:val="00C672C8"/>
    <w:rsid w:val="00C7148E"/>
    <w:rsid w:val="00C71726"/>
    <w:rsid w:val="00C73746"/>
    <w:rsid w:val="00C76E53"/>
    <w:rsid w:val="00C81AD1"/>
    <w:rsid w:val="00C8459D"/>
    <w:rsid w:val="00C90476"/>
    <w:rsid w:val="00C926CA"/>
    <w:rsid w:val="00C963A6"/>
    <w:rsid w:val="00C97848"/>
    <w:rsid w:val="00CA4ACB"/>
    <w:rsid w:val="00CB0C07"/>
    <w:rsid w:val="00CB1A8A"/>
    <w:rsid w:val="00CB3F14"/>
    <w:rsid w:val="00CC1331"/>
    <w:rsid w:val="00CC7FF7"/>
    <w:rsid w:val="00CD6679"/>
    <w:rsid w:val="00CE1F3A"/>
    <w:rsid w:val="00CE7428"/>
    <w:rsid w:val="00CF087B"/>
    <w:rsid w:val="00CF751C"/>
    <w:rsid w:val="00D11DFD"/>
    <w:rsid w:val="00D1390F"/>
    <w:rsid w:val="00D20281"/>
    <w:rsid w:val="00D32D05"/>
    <w:rsid w:val="00D33068"/>
    <w:rsid w:val="00D333D3"/>
    <w:rsid w:val="00D35407"/>
    <w:rsid w:val="00D35707"/>
    <w:rsid w:val="00D37B9A"/>
    <w:rsid w:val="00D403DE"/>
    <w:rsid w:val="00D52F41"/>
    <w:rsid w:val="00D53CC4"/>
    <w:rsid w:val="00D558F1"/>
    <w:rsid w:val="00D5737A"/>
    <w:rsid w:val="00D57F9F"/>
    <w:rsid w:val="00D60197"/>
    <w:rsid w:val="00D62BC6"/>
    <w:rsid w:val="00D63685"/>
    <w:rsid w:val="00D71AEE"/>
    <w:rsid w:val="00D72565"/>
    <w:rsid w:val="00D82D30"/>
    <w:rsid w:val="00D9474D"/>
    <w:rsid w:val="00D95DEB"/>
    <w:rsid w:val="00D97527"/>
    <w:rsid w:val="00DB2C89"/>
    <w:rsid w:val="00DB3B0D"/>
    <w:rsid w:val="00DB4FE0"/>
    <w:rsid w:val="00DB60BB"/>
    <w:rsid w:val="00DB6503"/>
    <w:rsid w:val="00DB6CF5"/>
    <w:rsid w:val="00DC46F5"/>
    <w:rsid w:val="00DC6C39"/>
    <w:rsid w:val="00DD05E2"/>
    <w:rsid w:val="00DD3FDE"/>
    <w:rsid w:val="00DD5B0C"/>
    <w:rsid w:val="00DD620A"/>
    <w:rsid w:val="00DD667D"/>
    <w:rsid w:val="00DE17C7"/>
    <w:rsid w:val="00DE2037"/>
    <w:rsid w:val="00DE30DD"/>
    <w:rsid w:val="00DE4BDD"/>
    <w:rsid w:val="00DE7FD7"/>
    <w:rsid w:val="00DF03CB"/>
    <w:rsid w:val="00DF2A71"/>
    <w:rsid w:val="00DF37B3"/>
    <w:rsid w:val="00DF50F4"/>
    <w:rsid w:val="00E040C1"/>
    <w:rsid w:val="00E07355"/>
    <w:rsid w:val="00E11C5B"/>
    <w:rsid w:val="00E14944"/>
    <w:rsid w:val="00E15588"/>
    <w:rsid w:val="00E158E5"/>
    <w:rsid w:val="00E15CF3"/>
    <w:rsid w:val="00E2105B"/>
    <w:rsid w:val="00E25360"/>
    <w:rsid w:val="00E25909"/>
    <w:rsid w:val="00E26676"/>
    <w:rsid w:val="00E37958"/>
    <w:rsid w:val="00E41681"/>
    <w:rsid w:val="00E41895"/>
    <w:rsid w:val="00E45000"/>
    <w:rsid w:val="00E47983"/>
    <w:rsid w:val="00E47FA0"/>
    <w:rsid w:val="00E6008A"/>
    <w:rsid w:val="00E60934"/>
    <w:rsid w:val="00E63DE6"/>
    <w:rsid w:val="00E65AAB"/>
    <w:rsid w:val="00E723A8"/>
    <w:rsid w:val="00E73750"/>
    <w:rsid w:val="00E73A27"/>
    <w:rsid w:val="00E77EBE"/>
    <w:rsid w:val="00E80B25"/>
    <w:rsid w:val="00E81CE6"/>
    <w:rsid w:val="00E83AB7"/>
    <w:rsid w:val="00E84DCA"/>
    <w:rsid w:val="00E863EB"/>
    <w:rsid w:val="00E86F19"/>
    <w:rsid w:val="00E9083B"/>
    <w:rsid w:val="00E91DBD"/>
    <w:rsid w:val="00E94D83"/>
    <w:rsid w:val="00E95167"/>
    <w:rsid w:val="00E95DE7"/>
    <w:rsid w:val="00E97015"/>
    <w:rsid w:val="00EA24E6"/>
    <w:rsid w:val="00EA3FDB"/>
    <w:rsid w:val="00EA64B7"/>
    <w:rsid w:val="00EA6DF8"/>
    <w:rsid w:val="00EC4790"/>
    <w:rsid w:val="00EC73D1"/>
    <w:rsid w:val="00ED0235"/>
    <w:rsid w:val="00ED4BD5"/>
    <w:rsid w:val="00ED5D96"/>
    <w:rsid w:val="00EE4E08"/>
    <w:rsid w:val="00EE5D2E"/>
    <w:rsid w:val="00EE7ACC"/>
    <w:rsid w:val="00EF65C9"/>
    <w:rsid w:val="00EF79D4"/>
    <w:rsid w:val="00F01E81"/>
    <w:rsid w:val="00F045E6"/>
    <w:rsid w:val="00F050E7"/>
    <w:rsid w:val="00F05CAE"/>
    <w:rsid w:val="00F0682F"/>
    <w:rsid w:val="00F10C2B"/>
    <w:rsid w:val="00F11EF2"/>
    <w:rsid w:val="00F14437"/>
    <w:rsid w:val="00F21894"/>
    <w:rsid w:val="00F42736"/>
    <w:rsid w:val="00F50B89"/>
    <w:rsid w:val="00F51330"/>
    <w:rsid w:val="00F51DAC"/>
    <w:rsid w:val="00F53464"/>
    <w:rsid w:val="00F537B7"/>
    <w:rsid w:val="00F561A3"/>
    <w:rsid w:val="00F61A3B"/>
    <w:rsid w:val="00F633F1"/>
    <w:rsid w:val="00F65BC3"/>
    <w:rsid w:val="00F67100"/>
    <w:rsid w:val="00F74025"/>
    <w:rsid w:val="00F76AB0"/>
    <w:rsid w:val="00F82D79"/>
    <w:rsid w:val="00F84592"/>
    <w:rsid w:val="00F84A3C"/>
    <w:rsid w:val="00F8568F"/>
    <w:rsid w:val="00F862B3"/>
    <w:rsid w:val="00F8636B"/>
    <w:rsid w:val="00F91E48"/>
    <w:rsid w:val="00F95E91"/>
    <w:rsid w:val="00F95F5E"/>
    <w:rsid w:val="00F966E9"/>
    <w:rsid w:val="00F97634"/>
    <w:rsid w:val="00FA1C2F"/>
    <w:rsid w:val="00FA4915"/>
    <w:rsid w:val="00FA4DB9"/>
    <w:rsid w:val="00FB1F01"/>
    <w:rsid w:val="00FB2AE1"/>
    <w:rsid w:val="00FB3F1D"/>
    <w:rsid w:val="00FB47DF"/>
    <w:rsid w:val="00FB6D56"/>
    <w:rsid w:val="00FC21D2"/>
    <w:rsid w:val="00FC3D02"/>
    <w:rsid w:val="00FC430E"/>
    <w:rsid w:val="00FC5CDE"/>
    <w:rsid w:val="00FD1569"/>
    <w:rsid w:val="00FD351B"/>
    <w:rsid w:val="00FE4A38"/>
    <w:rsid w:val="00FE4AF2"/>
    <w:rsid w:val="00FF07A6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5E43EF94-1204-461D-982C-7350926C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635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qFormat/>
    <w:rsid w:val="00A64635"/>
    <w:pPr>
      <w:keepNext/>
      <w:spacing w:line="240" w:lineRule="auto"/>
      <w:jc w:val="center"/>
      <w:outlineLvl w:val="0"/>
    </w:pPr>
    <w:rPr>
      <w:rFonts w:ascii="Arial" w:hAnsi="Arial"/>
      <w:b/>
      <w:smallCaps/>
      <w:kern w:val="28"/>
      <w:sz w:val="3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90206F"/>
    <w:pPr>
      <w:keepNext/>
      <w:spacing w:before="360" w:after="360" w:line="240" w:lineRule="auto"/>
      <w:jc w:val="left"/>
      <w:outlineLvl w:val="1"/>
    </w:pPr>
    <w:rPr>
      <w:rFonts w:ascii="Arial" w:hAnsi="Arial"/>
      <w:sz w:val="30"/>
      <w:lang w:val="x-none"/>
    </w:rPr>
  </w:style>
  <w:style w:type="paragraph" w:styleId="Heading3">
    <w:name w:val="heading 3"/>
    <w:basedOn w:val="Normal"/>
    <w:next w:val="Normal"/>
    <w:link w:val="Heading3Char"/>
    <w:qFormat/>
    <w:rsid w:val="00A64635"/>
    <w:pPr>
      <w:keepNext/>
      <w:tabs>
        <w:tab w:val="left" w:pos="709"/>
      </w:tabs>
      <w:spacing w:before="240" w:line="240" w:lineRule="auto"/>
      <w:jc w:val="left"/>
      <w:outlineLvl w:val="2"/>
    </w:pPr>
    <w:rPr>
      <w:rFonts w:ascii="Arial" w:hAnsi="Arial"/>
      <w:b/>
      <w:smallCaps/>
      <w:sz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A64635"/>
    <w:pPr>
      <w:keepNext/>
      <w:tabs>
        <w:tab w:val="left" w:pos="709"/>
      </w:tabs>
      <w:spacing w:before="120" w:after="120" w:line="240" w:lineRule="auto"/>
      <w:jc w:val="left"/>
      <w:outlineLvl w:val="3"/>
    </w:pPr>
    <w:rPr>
      <w:rFonts w:ascii="Arial" w:hAnsi="Arial"/>
      <w:b/>
      <w:lang w:val="x-none"/>
    </w:rPr>
  </w:style>
  <w:style w:type="paragraph" w:styleId="Heading5">
    <w:name w:val="heading 5"/>
    <w:basedOn w:val="Normal"/>
    <w:next w:val="Normal"/>
    <w:link w:val="Heading5Char"/>
    <w:qFormat/>
    <w:rsid w:val="00A64635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  <w:lang w:val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A6463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Centred">
    <w:name w:val="Table Column Heading Centred"/>
    <w:basedOn w:val="Normal"/>
    <w:rsid w:val="00A64635"/>
    <w:pPr>
      <w:spacing w:before="60" w:after="60"/>
      <w:jc w:val="center"/>
    </w:pPr>
    <w:rPr>
      <w:rFonts w:ascii="Arial" w:hAnsi="Arial"/>
      <w:b/>
      <w:color w:val="000000"/>
      <w:sz w:val="16"/>
    </w:rPr>
  </w:style>
  <w:style w:type="paragraph" w:customStyle="1" w:styleId="TableColumnHeadingLeft">
    <w:name w:val="Table Column Heading Left"/>
    <w:basedOn w:val="Normal"/>
    <w:rsid w:val="00A64635"/>
    <w:pPr>
      <w:spacing w:before="60" w:after="60"/>
    </w:pPr>
    <w:rPr>
      <w:rFonts w:ascii="Arial" w:hAnsi="Arial"/>
      <w:b/>
      <w:color w:val="000000"/>
      <w:sz w:val="16"/>
    </w:rPr>
  </w:style>
  <w:style w:type="paragraph" w:customStyle="1" w:styleId="TableColumnHeadingRight">
    <w:name w:val="Table Column Heading Right"/>
    <w:basedOn w:val="Normal"/>
    <w:link w:val="TableColumnHeadingRightChar"/>
    <w:rsid w:val="00A64635"/>
    <w:pPr>
      <w:spacing w:before="60" w:after="60"/>
      <w:jc w:val="right"/>
    </w:pPr>
    <w:rPr>
      <w:rFonts w:ascii="Arial" w:hAnsi="Arial"/>
      <w:b/>
      <w:color w:val="000000"/>
      <w:sz w:val="16"/>
      <w:lang w:val="x-none"/>
    </w:rPr>
  </w:style>
  <w:style w:type="character" w:customStyle="1" w:styleId="TableColumnHeadingRightChar">
    <w:name w:val="Table Column Heading Right Char"/>
    <w:link w:val="TableColumnHeadingRight"/>
    <w:rsid w:val="00A64635"/>
    <w:rPr>
      <w:rFonts w:ascii="Arial" w:hAnsi="Arial" w:cs="Times New Roman"/>
      <w:b/>
      <w:color w:val="000000"/>
      <w:sz w:val="16"/>
      <w:szCs w:val="20"/>
      <w:lang w:eastAsia="en-AU"/>
    </w:rPr>
  </w:style>
  <w:style w:type="paragraph" w:customStyle="1" w:styleId="Heading3ptafter">
    <w:name w:val="Heading 3 pt after"/>
    <w:basedOn w:val="Heading6"/>
    <w:rsid w:val="00A64635"/>
    <w:pPr>
      <w:keepLines w:val="0"/>
      <w:spacing w:before="0" w:after="60"/>
      <w:jc w:val="left"/>
    </w:pPr>
    <w:rPr>
      <w:rFonts w:ascii="Arial" w:hAnsi="Arial"/>
      <w:bCs/>
      <w:i w:val="0"/>
      <w:iCs w:val="0"/>
      <w:color w:val="auto"/>
      <w:szCs w:val="22"/>
    </w:rPr>
  </w:style>
  <w:style w:type="character" w:customStyle="1" w:styleId="Heading6Char">
    <w:name w:val="Heading 6 Char"/>
    <w:link w:val="Heading6"/>
    <w:rsid w:val="00A64635"/>
    <w:rPr>
      <w:rFonts w:ascii="Cambria" w:eastAsia="Times New Roman" w:hAnsi="Cambria" w:cs="Times New Roman"/>
      <w:i/>
      <w:iCs/>
      <w:color w:val="243F60"/>
      <w:sz w:val="20"/>
      <w:szCs w:val="20"/>
      <w:lang w:eastAsia="en-AU"/>
    </w:rPr>
  </w:style>
  <w:style w:type="paragraph" w:customStyle="1" w:styleId="ChartandTableFootnoteAlpha">
    <w:name w:val="Chart and Table Footnote Alpha"/>
    <w:basedOn w:val="Normal"/>
    <w:next w:val="Normal"/>
    <w:rsid w:val="009C33E9"/>
    <w:pPr>
      <w:numPr>
        <w:numId w:val="2"/>
      </w:numPr>
      <w:spacing w:after="20" w:line="240" w:lineRule="auto"/>
    </w:pPr>
    <w:rPr>
      <w:rFonts w:ascii="Arial" w:hAnsi="Arial"/>
      <w:sz w:val="16"/>
    </w:rPr>
  </w:style>
  <w:style w:type="paragraph" w:styleId="Title">
    <w:name w:val="Title"/>
    <w:basedOn w:val="Normal"/>
    <w:link w:val="TitleChar"/>
    <w:qFormat/>
    <w:rsid w:val="00A64635"/>
    <w:pPr>
      <w:spacing w:after="0"/>
      <w:jc w:val="center"/>
      <w:outlineLvl w:val="0"/>
    </w:pPr>
    <w:rPr>
      <w:rFonts w:ascii="Arial" w:hAnsi="Arial"/>
      <w:b/>
      <w:bCs/>
      <w:caps/>
      <w:kern w:val="28"/>
      <w:sz w:val="52"/>
      <w:szCs w:val="32"/>
      <w:lang w:val="x-none"/>
    </w:rPr>
  </w:style>
  <w:style w:type="character" w:customStyle="1" w:styleId="TitleChar">
    <w:name w:val="Title Char"/>
    <w:link w:val="Title"/>
    <w:rsid w:val="00A64635"/>
    <w:rPr>
      <w:rFonts w:ascii="Arial" w:hAnsi="Arial" w:cs="Arial"/>
      <w:b/>
      <w:bCs/>
      <w:caps/>
      <w:kern w:val="28"/>
      <w:sz w:val="52"/>
      <w:szCs w:val="32"/>
      <w:lang w:eastAsia="en-AU"/>
    </w:rPr>
  </w:style>
  <w:style w:type="paragraph" w:customStyle="1" w:styleId="Department">
    <w:name w:val="Department"/>
    <w:basedOn w:val="Normal"/>
    <w:rsid w:val="00A64635"/>
    <w:pPr>
      <w:spacing w:after="0"/>
      <w:jc w:val="left"/>
    </w:pPr>
    <w:rPr>
      <w:rFonts w:ascii="Arial" w:hAnsi="Arial"/>
      <w:b/>
      <w:sz w:val="52"/>
    </w:rPr>
  </w:style>
  <w:style w:type="character" w:customStyle="1" w:styleId="Heading1Char">
    <w:name w:val="Heading 1 Char"/>
    <w:link w:val="Heading1"/>
    <w:rsid w:val="00A64635"/>
    <w:rPr>
      <w:rFonts w:ascii="Arial" w:hAnsi="Arial" w:cs="Times New Roman"/>
      <w:b/>
      <w:smallCaps/>
      <w:kern w:val="28"/>
      <w:sz w:val="34"/>
      <w:szCs w:val="20"/>
      <w:lang w:eastAsia="en-AU"/>
    </w:rPr>
  </w:style>
  <w:style w:type="character" w:customStyle="1" w:styleId="Heading2Char">
    <w:name w:val="Heading 2 Char"/>
    <w:link w:val="Heading2"/>
    <w:rsid w:val="0090206F"/>
    <w:rPr>
      <w:rFonts w:ascii="Arial" w:hAnsi="Arial" w:cs="Times New Roman"/>
      <w:sz w:val="30"/>
      <w:szCs w:val="20"/>
      <w:lang w:eastAsia="en-AU"/>
    </w:rPr>
  </w:style>
  <w:style w:type="character" w:customStyle="1" w:styleId="Heading3Char">
    <w:name w:val="Heading 3 Char"/>
    <w:link w:val="Heading3"/>
    <w:rsid w:val="00A64635"/>
    <w:rPr>
      <w:rFonts w:ascii="Arial" w:hAnsi="Arial" w:cs="Times New Roman"/>
      <w:b/>
      <w:smallCaps/>
      <w:sz w:val="26"/>
      <w:szCs w:val="20"/>
      <w:lang w:eastAsia="en-AU"/>
    </w:rPr>
  </w:style>
  <w:style w:type="character" w:customStyle="1" w:styleId="Heading4Char">
    <w:name w:val="Heading 4 Char"/>
    <w:link w:val="Heading4"/>
    <w:rsid w:val="00A64635"/>
    <w:rPr>
      <w:rFonts w:ascii="Arial" w:hAnsi="Arial" w:cs="Times New Roman"/>
      <w:b/>
      <w:szCs w:val="20"/>
      <w:lang w:eastAsia="en-AU"/>
    </w:rPr>
  </w:style>
  <w:style w:type="character" w:customStyle="1" w:styleId="Heading5Char">
    <w:name w:val="Heading 5 Char"/>
    <w:link w:val="Heading5"/>
    <w:rsid w:val="00A64635"/>
    <w:rPr>
      <w:rFonts w:ascii="Arial" w:hAnsi="Arial" w:cs="Times New Roman"/>
      <w:b/>
      <w:bCs/>
      <w:iCs/>
      <w:sz w:val="20"/>
      <w:szCs w:val="26"/>
      <w:lang w:eastAsia="en-AU"/>
    </w:rPr>
  </w:style>
  <w:style w:type="paragraph" w:styleId="TOC2">
    <w:name w:val="toc 2"/>
    <w:basedOn w:val="Normal"/>
    <w:next w:val="Normal"/>
    <w:uiPriority w:val="39"/>
    <w:rsid w:val="00A64635"/>
    <w:pPr>
      <w:keepNext/>
      <w:tabs>
        <w:tab w:val="right" w:leader="dot" w:pos="7700"/>
      </w:tabs>
      <w:spacing w:before="80" w:after="0" w:line="240" w:lineRule="auto"/>
      <w:ind w:right="851"/>
      <w:jc w:val="left"/>
    </w:pPr>
    <w:rPr>
      <w:rFonts w:ascii="Arial" w:hAnsi="Arial"/>
    </w:rPr>
  </w:style>
  <w:style w:type="paragraph" w:customStyle="1" w:styleId="ChartGraphic">
    <w:name w:val="Chart Graphic"/>
    <w:basedOn w:val="Normal"/>
    <w:rsid w:val="00A64635"/>
    <w:pPr>
      <w:keepNext/>
      <w:spacing w:after="0" w:line="240" w:lineRule="auto"/>
      <w:jc w:val="center"/>
    </w:pPr>
    <w:rPr>
      <w:rFonts w:ascii="Arial" w:hAnsi="Arial"/>
    </w:rPr>
  </w:style>
  <w:style w:type="paragraph" w:customStyle="1" w:styleId="TableHeading">
    <w:name w:val="Table Heading"/>
    <w:basedOn w:val="Normal"/>
    <w:next w:val="TableGraphic"/>
    <w:link w:val="TableHeadingChar"/>
    <w:rsid w:val="00A64635"/>
    <w:pPr>
      <w:keepNext/>
      <w:spacing w:before="120" w:after="20" w:line="240" w:lineRule="auto"/>
      <w:jc w:val="left"/>
    </w:pPr>
    <w:rPr>
      <w:rFonts w:ascii="Arial" w:hAnsi="Arial"/>
      <w:b/>
      <w:lang w:val="x-none"/>
    </w:rPr>
  </w:style>
  <w:style w:type="paragraph" w:styleId="TOC1">
    <w:name w:val="toc 1"/>
    <w:basedOn w:val="Normal"/>
    <w:next w:val="Normal"/>
    <w:uiPriority w:val="39"/>
    <w:rsid w:val="00A64635"/>
    <w:pPr>
      <w:tabs>
        <w:tab w:val="right" w:leader="dot" w:pos="7700"/>
      </w:tabs>
      <w:spacing w:before="240" w:after="0" w:line="240" w:lineRule="auto"/>
      <w:ind w:right="851"/>
      <w:jc w:val="left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A64635"/>
    <w:pPr>
      <w:tabs>
        <w:tab w:val="center" w:pos="4153"/>
        <w:tab w:val="right" w:pos="8306"/>
      </w:tabs>
      <w:spacing w:after="0" w:line="240" w:lineRule="auto"/>
      <w:jc w:val="left"/>
    </w:pPr>
    <w:rPr>
      <w:i/>
      <w:lang w:val="x-none"/>
    </w:rPr>
  </w:style>
  <w:style w:type="character" w:customStyle="1" w:styleId="HeaderChar">
    <w:name w:val="Header Char"/>
    <w:link w:val="Header"/>
    <w:rsid w:val="00A64635"/>
    <w:rPr>
      <w:rFonts w:ascii="Book Antiqua" w:hAnsi="Book Antiqua" w:cs="Times New Roman"/>
      <w:i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A64635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hAnsi="Arial"/>
      <w:lang w:val="x-none"/>
    </w:rPr>
  </w:style>
  <w:style w:type="character" w:customStyle="1" w:styleId="FooterChar">
    <w:name w:val="Footer Char"/>
    <w:link w:val="Footer"/>
    <w:uiPriority w:val="99"/>
    <w:rsid w:val="00A64635"/>
    <w:rPr>
      <w:rFonts w:ascii="Arial" w:hAnsi="Arial" w:cs="Times New Roman"/>
      <w:sz w:val="20"/>
      <w:szCs w:val="20"/>
      <w:lang w:eastAsia="en-AU"/>
    </w:rPr>
  </w:style>
  <w:style w:type="character" w:styleId="PageNumber">
    <w:name w:val="page number"/>
    <w:rsid w:val="00A64635"/>
    <w:rPr>
      <w:rFonts w:ascii="Arial" w:hAnsi="Arial" w:cs="Arial"/>
    </w:rPr>
  </w:style>
  <w:style w:type="paragraph" w:customStyle="1" w:styleId="ContentsHeading">
    <w:name w:val="Contents Heading"/>
    <w:basedOn w:val="Normal"/>
    <w:next w:val="Normal"/>
    <w:rsid w:val="00A64635"/>
    <w:pPr>
      <w:keepNext/>
      <w:spacing w:after="360" w:line="240" w:lineRule="auto"/>
      <w:jc w:val="center"/>
    </w:pPr>
    <w:rPr>
      <w:rFonts w:ascii="Arial" w:hAnsi="Arial"/>
      <w:b/>
      <w:smallCaps/>
      <w:sz w:val="34"/>
    </w:rPr>
  </w:style>
  <w:style w:type="paragraph" w:customStyle="1" w:styleId="SinglePara">
    <w:name w:val="Single Para"/>
    <w:basedOn w:val="Normal"/>
    <w:rsid w:val="00F51DAC"/>
    <w:pPr>
      <w:spacing w:after="0"/>
      <w:jc w:val="left"/>
    </w:pPr>
  </w:style>
  <w:style w:type="paragraph" w:customStyle="1" w:styleId="ExampleText">
    <w:name w:val="Example Text"/>
    <w:basedOn w:val="Normal"/>
    <w:rsid w:val="00A64635"/>
    <w:pPr>
      <w:jc w:val="left"/>
    </w:pPr>
    <w:rPr>
      <w:i/>
      <w:color w:val="FF0000"/>
    </w:rPr>
  </w:style>
  <w:style w:type="paragraph" w:customStyle="1" w:styleId="HeaderEven">
    <w:name w:val="Header Even"/>
    <w:basedOn w:val="Normal"/>
    <w:rsid w:val="00A64635"/>
    <w:pPr>
      <w:spacing w:after="0" w:line="240" w:lineRule="auto"/>
      <w:jc w:val="left"/>
    </w:pPr>
    <w:rPr>
      <w:i/>
    </w:rPr>
  </w:style>
  <w:style w:type="paragraph" w:customStyle="1" w:styleId="HeaderOdd">
    <w:name w:val="Header Odd"/>
    <w:basedOn w:val="Normal"/>
    <w:rsid w:val="00A64635"/>
    <w:pPr>
      <w:spacing w:after="0" w:line="240" w:lineRule="auto"/>
      <w:jc w:val="right"/>
    </w:pPr>
    <w:rPr>
      <w:i/>
    </w:rPr>
  </w:style>
  <w:style w:type="paragraph" w:customStyle="1" w:styleId="OverviewParagraph">
    <w:name w:val="Overview Paragraph"/>
    <w:basedOn w:val="Normal"/>
    <w:link w:val="OverviewParagraphChar"/>
    <w:semiHidden/>
    <w:rsid w:val="00A64635"/>
    <w:pPr>
      <w:spacing w:before="120" w:after="120" w:line="240" w:lineRule="auto"/>
    </w:pPr>
    <w:rPr>
      <w:lang w:val="x-none"/>
    </w:rPr>
  </w:style>
  <w:style w:type="paragraph" w:customStyle="1" w:styleId="SingleParagraph">
    <w:name w:val="Single Paragraph"/>
    <w:basedOn w:val="Normal"/>
    <w:rsid w:val="00A64635"/>
    <w:pPr>
      <w:spacing w:after="0"/>
    </w:pPr>
  </w:style>
  <w:style w:type="paragraph" w:customStyle="1" w:styleId="PartHeading">
    <w:name w:val="Part Heading"/>
    <w:basedOn w:val="Normal"/>
    <w:next w:val="Normal"/>
    <w:rsid w:val="00A64635"/>
    <w:pPr>
      <w:spacing w:before="240" w:line="240" w:lineRule="auto"/>
      <w:jc w:val="center"/>
    </w:pPr>
    <w:rPr>
      <w:rFonts w:ascii="Arial Bold" w:hAnsi="Arial Bold" w:cs="Arial"/>
      <w:b/>
      <w:smallCaps/>
      <w:sz w:val="48"/>
    </w:rPr>
  </w:style>
  <w:style w:type="paragraph" w:customStyle="1" w:styleId="Tabletextjustified">
    <w:name w:val="Table text justified"/>
    <w:basedOn w:val="Normal"/>
    <w:semiHidden/>
    <w:rsid w:val="00A64635"/>
    <w:pPr>
      <w:spacing w:before="100" w:after="100" w:line="250" w:lineRule="exact"/>
    </w:pPr>
    <w:rPr>
      <w:rFonts w:ascii="Arial" w:hAnsi="Arial" w:cs="Arial"/>
      <w:sz w:val="18"/>
    </w:rPr>
  </w:style>
  <w:style w:type="paragraph" w:customStyle="1" w:styleId="TableHeading2ndLevelWord">
    <w:name w:val="Table Heading 2nd Level Word"/>
    <w:basedOn w:val="Normal"/>
    <w:semiHidden/>
    <w:rsid w:val="00A64635"/>
    <w:pPr>
      <w:spacing w:before="120" w:after="120" w:line="240" w:lineRule="auto"/>
      <w:jc w:val="left"/>
    </w:pPr>
    <w:rPr>
      <w:rFonts w:ascii="Arial" w:hAnsi="Arial" w:cs="Arial"/>
      <w:b/>
      <w:sz w:val="18"/>
    </w:rPr>
  </w:style>
  <w:style w:type="paragraph" w:customStyle="1" w:styleId="TableSideHeading">
    <w:name w:val="Table Side Heading"/>
    <w:basedOn w:val="TableHeading2ndLevelWord"/>
    <w:semiHidden/>
    <w:rsid w:val="00A64635"/>
    <w:pPr>
      <w:spacing w:before="100" w:after="100" w:line="250" w:lineRule="exact"/>
    </w:pPr>
  </w:style>
  <w:style w:type="character" w:customStyle="1" w:styleId="OverviewParagraphChar">
    <w:name w:val="Overview Paragraph Char"/>
    <w:link w:val="OverviewParagraph"/>
    <w:semiHidden/>
    <w:rsid w:val="00A64635"/>
    <w:rPr>
      <w:rFonts w:ascii="Book Antiqua" w:hAnsi="Book Antiqua" w:cs="Times New Roman"/>
      <w:sz w:val="20"/>
      <w:szCs w:val="20"/>
      <w:lang w:eastAsia="en-AU"/>
    </w:rPr>
  </w:style>
  <w:style w:type="paragraph" w:customStyle="1" w:styleId="Area">
    <w:name w:val="Area"/>
    <w:basedOn w:val="Normal"/>
    <w:rsid w:val="00A64635"/>
    <w:pPr>
      <w:tabs>
        <w:tab w:val="right" w:pos="9639"/>
      </w:tabs>
      <w:spacing w:after="0" w:line="240" w:lineRule="auto"/>
      <w:jc w:val="right"/>
    </w:pPr>
    <w:rPr>
      <w:rFonts w:ascii="Times New Roman" w:hAnsi="Times New Roman"/>
      <w:b/>
      <w:smallCaps/>
      <w:color w:val="000000"/>
      <w:sz w:val="28"/>
      <w:szCs w:val="28"/>
    </w:rPr>
  </w:style>
  <w:style w:type="paragraph" w:customStyle="1" w:styleId="ParliamentHouse">
    <w:name w:val="Parliament House"/>
    <w:basedOn w:val="Header"/>
    <w:rsid w:val="00A64635"/>
    <w:pPr>
      <w:tabs>
        <w:tab w:val="right" w:pos="9639"/>
      </w:tabs>
      <w:spacing w:before="240" w:after="120"/>
      <w:jc w:val="right"/>
    </w:pPr>
    <w:rPr>
      <w:rFonts w:ascii="Times" w:hAnsi="Times"/>
      <w:b/>
      <w:i w:val="0"/>
      <w:caps/>
      <w:sz w:val="16"/>
      <w:szCs w:val="16"/>
    </w:rPr>
  </w:style>
  <w:style w:type="paragraph" w:customStyle="1" w:styleId="TableGraphic">
    <w:name w:val="Table Graphic"/>
    <w:basedOn w:val="Normal"/>
    <w:next w:val="Normal"/>
    <w:rsid w:val="00A64635"/>
    <w:pPr>
      <w:spacing w:after="0" w:line="240" w:lineRule="auto"/>
      <w:ind w:right="-113"/>
    </w:pPr>
    <w:rPr>
      <w:i/>
      <w:color w:val="FF0000"/>
    </w:rPr>
  </w:style>
  <w:style w:type="paragraph" w:customStyle="1" w:styleId="Exampletext0">
    <w:name w:val="Example text"/>
    <w:basedOn w:val="Normal"/>
    <w:link w:val="ExampletextCharChar"/>
    <w:rsid w:val="00A64635"/>
    <w:rPr>
      <w:i/>
      <w:color w:val="FF0000"/>
      <w:lang w:val="x-none"/>
    </w:rPr>
  </w:style>
  <w:style w:type="character" w:customStyle="1" w:styleId="ExampletextCharChar">
    <w:name w:val="Example text Char Char"/>
    <w:link w:val="Exampletext0"/>
    <w:rsid w:val="00A64635"/>
    <w:rPr>
      <w:rFonts w:ascii="Book Antiqua" w:hAnsi="Book Antiqua" w:cs="Times New Roman"/>
      <w:i/>
      <w:color w:val="FF0000"/>
      <w:sz w:val="20"/>
      <w:szCs w:val="20"/>
      <w:lang w:eastAsia="en-AU"/>
    </w:rPr>
  </w:style>
  <w:style w:type="paragraph" w:customStyle="1" w:styleId="Source">
    <w:name w:val="Source"/>
    <w:basedOn w:val="Normal"/>
    <w:rsid w:val="00A64635"/>
    <w:pPr>
      <w:tabs>
        <w:tab w:val="left" w:pos="284"/>
      </w:tabs>
      <w:spacing w:after="0" w:line="240" w:lineRule="auto"/>
    </w:pPr>
    <w:rPr>
      <w:rFonts w:ascii="Arial" w:hAnsi="Arial"/>
      <w:sz w:val="16"/>
    </w:rPr>
  </w:style>
  <w:style w:type="paragraph" w:customStyle="1" w:styleId="FigureHeading">
    <w:name w:val="Figure Heading"/>
    <w:basedOn w:val="Normal"/>
    <w:next w:val="ChartGraphic"/>
    <w:rsid w:val="00A64635"/>
    <w:pPr>
      <w:keepNext/>
      <w:spacing w:after="120" w:line="240" w:lineRule="auto"/>
      <w:jc w:val="center"/>
    </w:pPr>
    <w:rPr>
      <w:rFonts w:ascii="Arial" w:hAnsi="Arial"/>
      <w:b/>
    </w:rPr>
  </w:style>
  <w:style w:type="paragraph" w:customStyle="1" w:styleId="ChartandTableFootnote">
    <w:name w:val="Chart and Table Footnote"/>
    <w:basedOn w:val="Normal"/>
    <w:next w:val="Normal"/>
    <w:link w:val="ChartandTableFootnoteChar"/>
    <w:rsid w:val="009C33E9"/>
    <w:pPr>
      <w:tabs>
        <w:tab w:val="left" w:pos="454"/>
      </w:tabs>
      <w:spacing w:after="0" w:line="240" w:lineRule="auto"/>
      <w:ind w:left="454" w:hanging="454"/>
    </w:pPr>
    <w:rPr>
      <w:rFonts w:ascii="Arial" w:hAnsi="Arial"/>
      <w:sz w:val="16"/>
    </w:rPr>
  </w:style>
  <w:style w:type="character" w:customStyle="1" w:styleId="TableHeadingChar">
    <w:name w:val="Table Heading Char"/>
    <w:link w:val="TableHeading"/>
    <w:rsid w:val="00A64635"/>
    <w:rPr>
      <w:rFonts w:ascii="Arial" w:hAnsi="Arial" w:cs="Times New Roman"/>
      <w:b/>
      <w:sz w:val="20"/>
      <w:szCs w:val="20"/>
      <w:lang w:eastAsia="en-AU"/>
    </w:rPr>
  </w:style>
  <w:style w:type="paragraph" w:customStyle="1" w:styleId="TPHeading1">
    <w:name w:val="TP Heading 1"/>
    <w:basedOn w:val="Normal"/>
    <w:rsid w:val="00A64635"/>
    <w:pPr>
      <w:keepNext/>
      <w:spacing w:after="0" w:line="240" w:lineRule="auto"/>
      <w:ind w:left="1418"/>
      <w:jc w:val="left"/>
    </w:pPr>
    <w:rPr>
      <w:rFonts w:ascii="Arial" w:hAnsi="Arial" w:cs="Arial"/>
      <w:b/>
      <w:caps/>
      <w:sz w:val="28"/>
      <w:szCs w:val="32"/>
    </w:rPr>
  </w:style>
  <w:style w:type="paragraph" w:customStyle="1" w:styleId="TPHeading3">
    <w:name w:val="TP Heading 3"/>
    <w:basedOn w:val="Normal"/>
    <w:rsid w:val="00A64635"/>
    <w:pPr>
      <w:keepNext/>
      <w:spacing w:after="0" w:line="240" w:lineRule="auto"/>
      <w:ind w:left="1418"/>
      <w:jc w:val="left"/>
    </w:pPr>
    <w:rPr>
      <w:rFonts w:ascii="Arial" w:hAnsi="Arial" w:cs="Arial"/>
      <w:caps/>
      <w:sz w:val="24"/>
    </w:rPr>
  </w:style>
  <w:style w:type="paragraph" w:customStyle="1" w:styleId="TPHeading2">
    <w:name w:val="TP Heading 2"/>
    <w:basedOn w:val="TPHeading1"/>
    <w:rsid w:val="00A64635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6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64635"/>
    <w:rPr>
      <w:rFonts w:ascii="Tahoma" w:hAnsi="Tahoma" w:cs="Tahoma"/>
      <w:sz w:val="16"/>
      <w:szCs w:val="16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E15CF3"/>
    <w:pPr>
      <w:spacing w:after="100"/>
      <w:ind w:left="400"/>
    </w:pPr>
  </w:style>
  <w:style w:type="paragraph" w:customStyle="1" w:styleId="Outcomeheading">
    <w:name w:val="Outcome heading"/>
    <w:basedOn w:val="Heading3"/>
    <w:qFormat/>
    <w:rsid w:val="00E15CF3"/>
  </w:style>
  <w:style w:type="character" w:styleId="Hyperlink">
    <w:name w:val="Hyperlink"/>
    <w:uiPriority w:val="99"/>
    <w:unhideWhenUsed/>
    <w:rsid w:val="00F045E6"/>
    <w:rPr>
      <w:b w:val="0"/>
      <w:color w:val="auto"/>
      <w:u w:val="none"/>
    </w:rPr>
  </w:style>
  <w:style w:type="character" w:customStyle="1" w:styleId="A5">
    <w:name w:val="A5"/>
    <w:uiPriority w:val="99"/>
    <w:rsid w:val="003E5422"/>
    <w:rPr>
      <w:rFonts w:ascii="Swiss 721 BT" w:hAnsi="Swiss 721 BT" w:cs="Swiss 721 BT" w:hint="default"/>
      <w:color w:val="000000"/>
      <w:sz w:val="20"/>
      <w:szCs w:val="20"/>
    </w:rPr>
  </w:style>
  <w:style w:type="paragraph" w:customStyle="1" w:styleId="ChartandTableFootnotenumbered">
    <w:name w:val="Chart and Table Footnote numbered"/>
    <w:basedOn w:val="Normal"/>
    <w:next w:val="Normal"/>
    <w:rsid w:val="00A64635"/>
    <w:pPr>
      <w:keepNext/>
      <w:spacing w:after="0"/>
    </w:pPr>
    <w:rPr>
      <w:rFonts w:ascii="Arial" w:hAnsi="Arial"/>
      <w:sz w:val="16"/>
    </w:rPr>
  </w:style>
  <w:style w:type="paragraph" w:customStyle="1" w:styleId="Bullet">
    <w:name w:val="Bullet"/>
    <w:basedOn w:val="Normal"/>
    <w:link w:val="BulletChar"/>
    <w:rsid w:val="00A64635"/>
    <w:pPr>
      <w:numPr>
        <w:numId w:val="1"/>
      </w:numPr>
    </w:pPr>
    <w:rPr>
      <w:lang w:val="x-none"/>
    </w:rPr>
  </w:style>
  <w:style w:type="character" w:customStyle="1" w:styleId="BulletChar">
    <w:name w:val="Bullet Char"/>
    <w:link w:val="Bullet"/>
    <w:rsid w:val="00A64635"/>
    <w:rPr>
      <w:rFonts w:ascii="Book Antiqua" w:hAnsi="Book Antiqua"/>
      <w:lang w:val="x-none"/>
    </w:rPr>
  </w:style>
  <w:style w:type="paragraph" w:customStyle="1" w:styleId="Dash">
    <w:name w:val="Dash"/>
    <w:basedOn w:val="Normal"/>
    <w:link w:val="DashChar"/>
    <w:rsid w:val="00A64635"/>
    <w:pPr>
      <w:numPr>
        <w:ilvl w:val="1"/>
        <w:numId w:val="1"/>
      </w:numPr>
    </w:pPr>
    <w:rPr>
      <w:lang w:val="x-none"/>
    </w:rPr>
  </w:style>
  <w:style w:type="character" w:customStyle="1" w:styleId="DashChar">
    <w:name w:val="Dash Char"/>
    <w:link w:val="Dash"/>
    <w:rsid w:val="00A64635"/>
    <w:rPr>
      <w:rFonts w:ascii="Book Antiqua" w:hAnsi="Book Antiqua"/>
      <w:lang w:val="x-none"/>
    </w:rPr>
  </w:style>
  <w:style w:type="paragraph" w:customStyle="1" w:styleId="DoubleDot">
    <w:name w:val="Double Dot"/>
    <w:basedOn w:val="Normal"/>
    <w:link w:val="DoubleDotChar"/>
    <w:rsid w:val="00A64635"/>
    <w:pPr>
      <w:numPr>
        <w:ilvl w:val="2"/>
        <w:numId w:val="1"/>
      </w:numPr>
    </w:pPr>
    <w:rPr>
      <w:lang w:val="x-none"/>
    </w:rPr>
  </w:style>
  <w:style w:type="character" w:customStyle="1" w:styleId="DoubleDotChar">
    <w:name w:val="Double Dot Char"/>
    <w:link w:val="DoubleDot"/>
    <w:rsid w:val="00A64635"/>
    <w:rPr>
      <w:rFonts w:ascii="Book Antiqua" w:hAnsi="Book Antiqua"/>
      <w:lang w:val="x-none"/>
    </w:rPr>
  </w:style>
  <w:style w:type="character" w:styleId="CommentReference">
    <w:name w:val="annotation reference"/>
    <w:uiPriority w:val="99"/>
    <w:semiHidden/>
    <w:unhideWhenUsed/>
    <w:rsid w:val="001A1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86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1A186D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8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86D"/>
    <w:rPr>
      <w:rFonts w:ascii="Book Antiqua" w:hAnsi="Book Antiqua"/>
      <w:b/>
      <w:bCs/>
    </w:rPr>
  </w:style>
  <w:style w:type="paragraph" w:styleId="NoSpacing">
    <w:name w:val="No Spacing"/>
    <w:uiPriority w:val="1"/>
    <w:qFormat/>
    <w:rsid w:val="00192802"/>
    <w:pPr>
      <w:jc w:val="both"/>
    </w:pPr>
    <w:rPr>
      <w:rFonts w:ascii="Book Antiqua" w:hAnsi="Book Antiqua"/>
    </w:rPr>
  </w:style>
  <w:style w:type="character" w:customStyle="1" w:styleId="ChartandTableFootnoteChar">
    <w:name w:val="Chart and Table Footnote Char"/>
    <w:link w:val="ChartandTableFootnote"/>
    <w:rsid w:val="009C33E9"/>
    <w:rPr>
      <w:rFonts w:ascii="Arial" w:hAnsi="Arial"/>
      <w:sz w:val="16"/>
    </w:rPr>
  </w:style>
  <w:style w:type="paragraph" w:styleId="BodyText">
    <w:name w:val="Body Text"/>
    <w:basedOn w:val="Normal"/>
    <w:link w:val="BodyTextChar"/>
    <w:qFormat/>
    <w:rsid w:val="00AE29BE"/>
    <w:pPr>
      <w:spacing w:after="120" w:line="240" w:lineRule="auto"/>
      <w:jc w:val="left"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rsid w:val="00AE29BE"/>
    <w:rPr>
      <w:rFonts w:ascii="Cambria" w:eastAsia="Cambria" w:hAnsi="Cambria"/>
      <w:sz w:val="22"/>
      <w:szCs w:val="22"/>
      <w:lang w:val="x-none" w:eastAsia="en-US"/>
    </w:rPr>
  </w:style>
  <w:style w:type="paragraph" w:customStyle="1" w:styleId="Default">
    <w:name w:val="Default"/>
    <w:basedOn w:val="Normal"/>
    <w:rsid w:val="006E7CCA"/>
    <w:pPr>
      <w:autoSpaceDE w:val="0"/>
      <w:autoSpaceDN w:val="0"/>
      <w:spacing w:after="0" w:line="240" w:lineRule="auto"/>
      <w:jc w:val="left"/>
    </w:pPr>
    <w:rPr>
      <w:rFonts w:ascii="Cambria" w:eastAsia="Calibri" w:hAnsi="Cambria"/>
      <w:color w:val="000000"/>
      <w:sz w:val="24"/>
      <w:szCs w:val="24"/>
      <w:lang w:eastAsia="en-US"/>
    </w:rPr>
  </w:style>
  <w:style w:type="paragraph" w:customStyle="1" w:styleId="TableHeadingcontinued">
    <w:name w:val="Table Heading (continued)"/>
    <w:basedOn w:val="TableHeading"/>
    <w:rsid w:val="003B7884"/>
    <w:rPr>
      <w:snapToGrid w:val="0"/>
    </w:rPr>
  </w:style>
  <w:style w:type="paragraph" w:customStyle="1" w:styleId="ChartandTableFootnote-Dash">
    <w:name w:val="Chart and Table Footnote - Dash"/>
    <w:basedOn w:val="Source"/>
    <w:rsid w:val="009C33E9"/>
    <w:pPr>
      <w:tabs>
        <w:tab w:val="clear" w:pos="284"/>
        <w:tab w:val="left" w:pos="680"/>
      </w:tabs>
      <w:ind w:left="681" w:hanging="284"/>
    </w:pPr>
  </w:style>
  <w:style w:type="paragraph" w:customStyle="1" w:styleId="Heading1-NoTOC">
    <w:name w:val="Heading 1 - No TOC"/>
    <w:basedOn w:val="Heading1"/>
    <w:link w:val="Heading1-NoTOCChar"/>
    <w:rsid w:val="00842C17"/>
    <w:pPr>
      <w:spacing w:after="360"/>
      <w:outlineLvl w:val="9"/>
    </w:pPr>
  </w:style>
  <w:style w:type="paragraph" w:customStyle="1" w:styleId="Heading2-NoTOC">
    <w:name w:val="Heading 2 - No TOC"/>
    <w:rsid w:val="004C0BD7"/>
    <w:pPr>
      <w:spacing w:before="360" w:after="360"/>
    </w:pPr>
    <w:rPr>
      <w:rFonts w:ascii="Arial" w:hAnsi="Arial"/>
      <w:sz w:val="30"/>
    </w:rPr>
  </w:style>
  <w:style w:type="paragraph" w:customStyle="1" w:styleId="PartHeading-NoTOC">
    <w:name w:val="Part Heading - No TOC"/>
    <w:basedOn w:val="PartHeading"/>
    <w:rsid w:val="00ED5D96"/>
  </w:style>
  <w:style w:type="paragraph" w:customStyle="1" w:styleId="Heading1-LVL2">
    <w:name w:val="Heading 1 - LVL2"/>
    <w:basedOn w:val="Heading1"/>
    <w:rsid w:val="00E95DE7"/>
  </w:style>
  <w:style w:type="paragraph" w:customStyle="1" w:styleId="Heading2-TOC">
    <w:name w:val="Heading 2 - TOC"/>
    <w:rsid w:val="004C0BD7"/>
    <w:pPr>
      <w:spacing w:before="360" w:after="360"/>
      <w:outlineLvl w:val="1"/>
    </w:pPr>
    <w:rPr>
      <w:rFonts w:ascii="Arial" w:hAnsi="Arial"/>
      <w:b/>
      <w:sz w:val="30"/>
    </w:rPr>
  </w:style>
  <w:style w:type="character" w:customStyle="1" w:styleId="Heading1-NoTOCChar">
    <w:name w:val="Heading 1 - No TOC Char"/>
    <w:link w:val="Heading1-NoTOC"/>
    <w:rsid w:val="00E77EBE"/>
    <w:rPr>
      <w:rFonts w:ascii="Arial" w:hAnsi="Arial" w:cs="Times New Roman"/>
      <w:b/>
      <w:smallCaps/>
      <w:kern w:val="28"/>
      <w:sz w:val="34"/>
      <w:szCs w:val="20"/>
      <w:lang w:val="x-none" w:eastAsia="en-AU"/>
    </w:rPr>
  </w:style>
  <w:style w:type="paragraph" w:customStyle="1" w:styleId="Style1">
    <w:name w:val="Style1"/>
    <w:basedOn w:val="Heading1-NoTOC"/>
    <w:link w:val="Style1Char"/>
    <w:qFormat/>
    <w:rsid w:val="00E77EBE"/>
  </w:style>
  <w:style w:type="character" w:customStyle="1" w:styleId="Style1Char">
    <w:name w:val="Style1 Char"/>
    <w:link w:val="Style1"/>
    <w:rsid w:val="00E77EBE"/>
  </w:style>
  <w:style w:type="paragraph" w:customStyle="1" w:styleId="Singleparacentre">
    <w:name w:val="Single para centre"/>
    <w:basedOn w:val="SingleParagraph"/>
    <w:qFormat/>
    <w:rsid w:val="00EF79D4"/>
    <w:pPr>
      <w:jc w:val="center"/>
    </w:pPr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4D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E15DB"/>
    <w:rPr>
      <w:rFonts w:ascii="Book Antiqua" w:hAnsi="Book Antiqua"/>
    </w:rPr>
  </w:style>
  <w:style w:type="paragraph" w:customStyle="1" w:styleId="Normal2">
    <w:name w:val="Normal2"/>
    <w:basedOn w:val="Normal"/>
    <w:rsid w:val="007E15DB"/>
    <w:rPr>
      <w:rFonts w:eastAsia="Calibri"/>
    </w:rPr>
  </w:style>
  <w:style w:type="paragraph" w:styleId="Revision">
    <w:name w:val="Revision"/>
    <w:hidden/>
    <w:uiPriority w:val="99"/>
    <w:semiHidden/>
    <w:rsid w:val="007E15DB"/>
    <w:rPr>
      <w:rFonts w:ascii="Book Antiqua" w:hAnsi="Book Antiqua"/>
    </w:rPr>
  </w:style>
  <w:style w:type="table" w:styleId="TableGrid">
    <w:name w:val="Table Grid"/>
    <w:basedOn w:val="TableNormal"/>
    <w:uiPriority w:val="59"/>
    <w:rsid w:val="003A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PA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eb47d8b7-fefc-4923-b53c-9685ba6b72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AE-20337-Destroy 7 years after action completed</TermName>
          <TermId xmlns="http://schemas.microsoft.com/office/infopath/2007/PartnerControls">668ae28e-5138-4c7c-82db-1c8c6afc81a6</TermId>
        </TermInfo>
      </Terms>
    </lb508a4dc5e84436a0fe496b536466aa>
    <TaxCatchAll xmlns="0f563589-9cf9-4143-b1eb-fb0534803d38">
      <Value>75</Value>
    </TaxCatchAll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605AAC981168BE40A9BD548B81A50DF6|1757814118" UniqueId="5cc967dd-c912-4b3c-bade-a8b03f189c5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605AAC981168BE40A9BD548B81A50DF600D32F813FF339BB439A8099CD5BC8C9D4" ma:contentTypeVersion="15839" ma:contentTypeDescription="" ma:contentTypeScope="" ma:versionID="d0a9a5056b2d8bdb127789fb334e66d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b47d8b7-fefc-4923-b53c-9685ba6b7210" targetNamespace="http://schemas.microsoft.com/office/2006/metadata/properties" ma:root="true" ma:fieldsID="3068d29b9d648fd606c098e9b6dc71df" ns1:_="" ns2:_="" ns3:_="">
    <xsd:import namespace="http://schemas.microsoft.com/sharepoint/v3"/>
    <xsd:import namespace="0f563589-9cf9-4143-b1eb-fb0534803d38"/>
    <xsd:import namespace="eb47d8b7-fefc-4923-b53c-9685ba6b72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587f53-e282-4719-ab13-46559658bd12}" ma:internalName="TaxCatchAll" ma:showField="CatchAllData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587f53-e282-4719-ab13-46559658bd12}" ma:internalName="TaxCatchAllLabel" ma:readOnly="true" ma:showField="CatchAllDataLabel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8b7-fefc-4923-b53c-9685ba6b7210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5;#AE-20337-Destroy 7 years after action completed|668ae28e-5138-4c7c-82db-1c8c6afc81a6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8E42-0557-4AAF-8A8C-4CC60028BDB7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b47d8b7-fefc-4923-b53c-9685ba6b7210"/>
    <ds:schemaRef ds:uri="http://schemas.microsoft.com/office/2006/metadata/properties"/>
    <ds:schemaRef ds:uri="0f563589-9cf9-4143-b1eb-fb0534803d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1EC019-01B5-473C-92C8-B7ED05F0A94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09F6D01-DA40-4240-84BB-85BBD888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eb47d8b7-fefc-4923-b53c-9685ba6b7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0BEFC-14B6-4E01-AE53-734F3A3D37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2B6761-37AB-4747-93AC-AE9143DE905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6C0FA5B-2721-4819-B29F-E718F7DDB51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EB8676E-53BF-462B-9CFB-B180F3E9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PAES Template</Template>
  <TotalTime>1</TotalTime>
  <Pages>10</Pages>
  <Words>2590</Words>
  <Characters>14767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17323</CharactersWithSpaces>
  <SharedDoc>false</SharedDoc>
  <HLinks>
    <vt:vector size="84" baseType="variant">
      <vt:variant>
        <vt:i4>8257595</vt:i4>
      </vt:variant>
      <vt:variant>
        <vt:i4>75</vt:i4>
      </vt:variant>
      <vt:variant>
        <vt:i4>0</vt:i4>
      </vt:variant>
      <vt:variant>
        <vt:i4>5</vt:i4>
      </vt:variant>
      <vt:variant>
        <vt:lpwstr>C:\Users\weathe\AppData\Local\Microsoft\Windows\Temporary Internet Files\Content.Outlook\WD1LS0GQ\www.budget.gov.au</vt:lpwstr>
      </vt:variant>
      <vt:variant>
        <vt:lpwstr/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_Toc536703143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_Toc536703142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_Toc536703141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_Toc536703140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_Toc536703139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_Toc536703138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_Toc536703137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_Toc536703136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_Toc536703135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_Toc536703134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_Toc536703133</vt:lpwstr>
      </vt:variant>
      <vt:variant>
        <vt:i4>5505104</vt:i4>
      </vt:variant>
      <vt:variant>
        <vt:i4>3</vt:i4>
      </vt:variant>
      <vt:variant>
        <vt:i4>0</vt:i4>
      </vt:variant>
      <vt:variant>
        <vt:i4>5</vt:i4>
      </vt:variant>
      <vt:variant>
        <vt:lpwstr>http://www.dpmc.gov.au/government/commonwealth-coat-arms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http://www.creativecommons.org/licenses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Pan</dc:creator>
  <cp:lastModifiedBy>Watson Jeanette</cp:lastModifiedBy>
  <cp:revision>2</cp:revision>
  <cp:lastPrinted>2019-02-04T22:28:00Z</cp:lastPrinted>
  <dcterms:created xsi:type="dcterms:W3CDTF">2019-02-14T22:39:00Z</dcterms:created>
  <dcterms:modified xsi:type="dcterms:W3CDTF">2019-02-14T22:39:00Z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0x010100605AAC981168BE40A9BD548B81A50DF600D32F813FF339BB439A8099CD5BC8C9D4</vt:lpwstr>
  </property>
  <property fmtid="{D5CDD505-2E9C-101B-9397-08002B2CF9AE}" pid="3" name="_NewReviewCycle">
    <vt:lpwstr/>
  </property>
  <property fmtid="{D5CDD505-2E9C-101B-9397-08002B2CF9AE}" pid="4" name="lb508a4dc5e84436a0fe496b536466aa">
    <vt:lpwstr>AE-20337-Destroy 7 years after action completed|668ae28e-5138-4c7c-82db-1c8c6afc81a6</vt:lpwstr>
  </property>
  <property fmtid="{D5CDD505-2E9C-101B-9397-08002B2CF9AE}" pid="5" name="TaxCatchAll">
    <vt:lpwstr>75;#AE-20337-Destroy 7 years after action completed|668ae28e-5138-4c7c-82db-1c8c6afc81a6</vt:lpwstr>
  </property>
  <property fmtid="{D5CDD505-2E9C-101B-9397-08002B2CF9AE}" pid="6" name="TSYRecordClass">
    <vt:lpwstr>75;#AE-20337-Destroy 7 years after action completed|668ae28e-5138-4c7c-82db-1c8c6afc81a6</vt:lpwstr>
  </property>
  <property fmtid="{D5CDD505-2E9C-101B-9397-08002B2CF9AE}" pid="7" name="_dlc_DocId">
    <vt:lpwstr>2018CSSG-528562461-1774</vt:lpwstr>
  </property>
  <property fmtid="{D5CDD505-2E9C-101B-9397-08002B2CF9AE}" pid="8" name="_dlc_DocIdItemGuid">
    <vt:lpwstr>ae340fe8-3db5-40e3-ab45-304a0a0429ce</vt:lpwstr>
  </property>
  <property fmtid="{D5CDD505-2E9C-101B-9397-08002B2CF9AE}" pid="9" name="_dlc_DocIdUrl">
    <vt:lpwstr>http://tweb/sites/cssg/ped/pu/pt/_layouts/15/DocIdRedir.aspx?ID=2018CSSG-528562461-1774, 2018CSSG-528562461-1774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{cb2ef77c-cc91-41ed-91b9-d4cad959b8b6}</vt:lpwstr>
  </property>
  <property fmtid="{D5CDD505-2E9C-101B-9397-08002B2CF9AE}" pid="12" name="RecordPoint_SubmissionCompleted">
    <vt:lpwstr>2018-11-26T13:32:40.3725850+11:00</vt:lpwstr>
  </property>
  <property fmtid="{D5CDD505-2E9C-101B-9397-08002B2CF9AE}" pid="13" name="RecordPoint_ActiveItemSiteId">
    <vt:lpwstr>{de902461-0703-410e-906b-a2e3a4f5dd57}</vt:lpwstr>
  </property>
  <property fmtid="{D5CDD505-2E9C-101B-9397-08002B2CF9AE}" pid="14" name="RecordPoint_ActiveItemListId">
    <vt:lpwstr>{1a5197ea-2690-47fd-a085-19629528b6d0}</vt:lpwstr>
  </property>
  <property fmtid="{D5CDD505-2E9C-101B-9397-08002B2CF9AE}" pid="15" name="RecordPoint_ActiveItemWebId">
    <vt:lpwstr>{e237d495-0881-4849-ae62-ddc8a8132df5}</vt:lpwstr>
  </property>
  <property fmtid="{D5CDD505-2E9C-101B-9397-08002B2CF9AE}" pid="16" name="IconOverlay">
    <vt:lpwstr/>
  </property>
  <property fmtid="{D5CDD505-2E9C-101B-9397-08002B2CF9AE}" pid="17" name="RecordPoint_RecordNumberSubmitted">
    <vt:lpwstr>R0001935766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