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AEC8" w14:textId="77777777" w:rsidR="005209D0" w:rsidRPr="005209D0" w:rsidRDefault="005209D0" w:rsidP="005209D0">
      <w:pPr>
        <w:shd w:val="clear" w:color="auto" w:fill="FFFFFF"/>
        <w:spacing w:before="100" w:beforeAutospacing="1" w:after="240" w:line="240" w:lineRule="atLeast"/>
        <w:textAlignment w:val="top"/>
        <w:outlineLvl w:val="2"/>
        <w:rPr>
          <w:rFonts w:eastAsia="Times New Roman" w:cstheme="minorHAnsi"/>
          <w:color w:val="007CB0"/>
          <w:sz w:val="29"/>
          <w:szCs w:val="29"/>
          <w:lang w:eastAsia="en-AU"/>
        </w:rPr>
      </w:pPr>
      <w:r w:rsidRPr="005209D0">
        <w:rPr>
          <w:rFonts w:eastAsia="Times New Roman" w:cstheme="minorHAnsi"/>
          <w:color w:val="007CB0"/>
          <w:sz w:val="29"/>
          <w:szCs w:val="29"/>
          <w:lang w:eastAsia="en-AU"/>
        </w:rPr>
        <w:t>Privacy Impact Assessments</w:t>
      </w:r>
    </w:p>
    <w:p w14:paraId="1CEAD685" w14:textId="77777777" w:rsidR="005209D0" w:rsidRPr="005209D0" w:rsidRDefault="005209D0" w:rsidP="00C73EEC">
      <w:pPr>
        <w:shd w:val="clear" w:color="auto" w:fill="FFFFFF"/>
        <w:spacing w:after="120" w:line="240" w:lineRule="auto"/>
        <w:textAlignment w:val="top"/>
        <w:rPr>
          <w:rFonts w:eastAsia="Times New Roman" w:cstheme="minorHAnsi"/>
          <w:color w:val="111111"/>
          <w:sz w:val="19"/>
          <w:szCs w:val="19"/>
          <w:lang w:eastAsia="en-AU"/>
        </w:rPr>
      </w:pP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The Privacy (Australian Government Agencies – Governance) Australian Privacy Principles Code 2017 (</w:t>
      </w:r>
      <w:proofErr w:type="spellStart"/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Cth</w:t>
      </w:r>
      <w:proofErr w:type="spellEnd"/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) requires all agencies, including t</w:t>
      </w:r>
      <w:r w:rsidR="00EE463D">
        <w:rPr>
          <w:rFonts w:eastAsia="Times New Roman" w:cstheme="minorHAnsi"/>
          <w:color w:val="111111"/>
          <w:sz w:val="19"/>
          <w:szCs w:val="19"/>
          <w:lang w:eastAsia="en-AU"/>
        </w:rPr>
        <w:t>he Office of the Commonwealth Director of Public Prosecutions (CDPP)</w:t>
      </w: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, to conduct a Privacy Impact Assessment (PIA) for all high privacy risk projects. A register of PIAs</w:t>
      </w:r>
      <w:r w:rsidR="00EE463D">
        <w:rPr>
          <w:rFonts w:eastAsia="Times New Roman" w:cstheme="minorHAnsi"/>
          <w:color w:val="111111"/>
          <w:sz w:val="19"/>
          <w:szCs w:val="19"/>
          <w:lang w:eastAsia="en-AU"/>
        </w:rPr>
        <w:t xml:space="preserve"> is maintained by the CDPP</w:t>
      </w: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, and lists PIAs completed since the Code came into effect on 1 July 2018.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015"/>
        <w:gridCol w:w="5474"/>
      </w:tblGrid>
      <w:tr w:rsidR="00752D86" w:rsidRPr="005209D0" w14:paraId="3EF5F401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8347811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5209D0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Date of completion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FEF1685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Responsible Agency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23FA6FC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Description of project</w:t>
            </w:r>
          </w:p>
        </w:tc>
      </w:tr>
      <w:tr w:rsidR="00752D86" w:rsidRPr="005209D0" w14:paraId="2F9707E3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E97C3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May 2019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10607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Department of Industry Innovation and Science</w:t>
            </w:r>
          </w:p>
          <w:p w14:paraId="52C133DA" w14:textId="77777777" w:rsidR="0094416C" w:rsidRDefault="0094416C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and</w:t>
            </w:r>
          </w:p>
          <w:p w14:paraId="58EF0F08" w14:textId="77777777" w:rsidR="0094416C" w:rsidRDefault="0094416C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</w:t>
            </w:r>
            <w:r w:rsidR="00A86594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081C4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Privacy Impact Assessment – </w:t>
            </w:r>
            <w:r w:rsidR="00AF3127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Provision of Payroll and Contact Centre </w:t>
            </w: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Shared Services</w:t>
            </w:r>
          </w:p>
          <w:p w14:paraId="081F3092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(Department of Industry, Innovation and Science Shared Services and Commonwealth Director of Public Prosecutions )</w:t>
            </w:r>
          </w:p>
        </w:tc>
      </w:tr>
      <w:tr w:rsidR="00287428" w:rsidRPr="005209D0" w14:paraId="1A35F612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67CE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February 2020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2999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D8B4E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Privacy Impact Assessment – Digital Litigation software as a service (SaaS) solution.</w:t>
            </w:r>
          </w:p>
        </w:tc>
      </w:tr>
      <w:tr w:rsidR="00433416" w:rsidRPr="005209D0" w14:paraId="629115EA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38B9" w14:textId="0094D649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September 2021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FDFA9" w14:textId="51F95BE3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410B1" w14:textId="043A80EA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Privacy Impact Assessment – Implementation of an Electronic Document Records Management System (EDRMS).</w:t>
            </w:r>
          </w:p>
        </w:tc>
      </w:tr>
      <w:tr w:rsidR="001C2B6E" w:rsidRPr="005209D0" w14:paraId="68E77B11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2ADB7" w14:textId="17C9071E" w:rsidR="001C2B6E" w:rsidRDefault="001C2B6E" w:rsidP="001C2B6E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February 2026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F1C07" w14:textId="180E65CD" w:rsidR="001C2B6E" w:rsidRDefault="001C2B6E" w:rsidP="001C2B6E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E428" w14:textId="52230FE8" w:rsidR="001C2B6E" w:rsidRDefault="001C2B6E" w:rsidP="001C2B6E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Privacy Impact Assessment –Transition the Electronic Document Records Management System (EDRMS) </w:t>
            </w:r>
            <w:r w:rsidRPr="001C2B6E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from the current on-premises operated infrastructure model to a cloud-based</w:t>
            </w: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 Software as a Service (SaaS) model.</w:t>
            </w:r>
          </w:p>
        </w:tc>
      </w:tr>
    </w:tbl>
    <w:p w14:paraId="232DD600" w14:textId="77777777" w:rsidR="003A68D7" w:rsidRDefault="003A68D7"/>
    <w:sectPr w:rsidR="003A68D7" w:rsidSect="003A68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CC7B" w14:textId="77777777" w:rsidR="0056544D" w:rsidRDefault="0056544D" w:rsidP="003036BE">
      <w:pPr>
        <w:spacing w:after="0" w:line="240" w:lineRule="auto"/>
      </w:pPr>
      <w:r>
        <w:separator/>
      </w:r>
    </w:p>
  </w:endnote>
  <w:endnote w:type="continuationSeparator" w:id="0">
    <w:p w14:paraId="0525C00C" w14:textId="77777777" w:rsidR="0056544D" w:rsidRDefault="0056544D" w:rsidP="0030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32DB" w14:textId="79389155" w:rsidR="003036BE" w:rsidRDefault="003036BE">
    <w:pPr>
      <w:pStyle w:val="Footer"/>
    </w:pPr>
    <w:r>
      <w:t xml:space="preserve">Last updated: </w:t>
    </w:r>
    <w:r w:rsidR="00EA3704">
      <w:t>3 March 2026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C524" w14:textId="77777777" w:rsidR="0056544D" w:rsidRDefault="0056544D" w:rsidP="003036BE">
      <w:pPr>
        <w:spacing w:after="0" w:line="240" w:lineRule="auto"/>
      </w:pPr>
      <w:r>
        <w:separator/>
      </w:r>
    </w:p>
  </w:footnote>
  <w:footnote w:type="continuationSeparator" w:id="0">
    <w:p w14:paraId="448F4A87" w14:textId="77777777" w:rsidR="0056544D" w:rsidRDefault="0056544D" w:rsidP="00303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D0"/>
    <w:rsid w:val="00007B02"/>
    <w:rsid w:val="00042F32"/>
    <w:rsid w:val="001C2B6E"/>
    <w:rsid w:val="00287428"/>
    <w:rsid w:val="003036BE"/>
    <w:rsid w:val="00357F93"/>
    <w:rsid w:val="003A68D7"/>
    <w:rsid w:val="00433416"/>
    <w:rsid w:val="005209D0"/>
    <w:rsid w:val="0056544D"/>
    <w:rsid w:val="005D3297"/>
    <w:rsid w:val="00623AAE"/>
    <w:rsid w:val="00752D86"/>
    <w:rsid w:val="0094416C"/>
    <w:rsid w:val="009A39B6"/>
    <w:rsid w:val="00A86594"/>
    <w:rsid w:val="00AF3127"/>
    <w:rsid w:val="00C73EEC"/>
    <w:rsid w:val="00E80F16"/>
    <w:rsid w:val="00EA3704"/>
    <w:rsid w:val="00EE463D"/>
    <w:rsid w:val="00EF5DC1"/>
    <w:rsid w:val="00E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ADC5"/>
  <w15:chartTrackingRefBased/>
  <w15:docId w15:val="{85E27CFA-E938-4D25-9C68-F4B7761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9D0"/>
    <w:pPr>
      <w:spacing w:before="100" w:beforeAutospacing="1" w:after="360" w:line="36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BE"/>
  </w:style>
  <w:style w:type="paragraph" w:styleId="Footer">
    <w:name w:val="footer"/>
    <w:basedOn w:val="Normal"/>
    <w:link w:val="FooterChar"/>
    <w:uiPriority w:val="99"/>
    <w:unhideWhenUsed/>
    <w:rsid w:val="0030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8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8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343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88218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9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Craig</dc:creator>
  <cp:keywords/>
  <dc:description/>
  <cp:lastModifiedBy>Brittany Rule</cp:lastModifiedBy>
  <cp:revision>2</cp:revision>
  <dcterms:created xsi:type="dcterms:W3CDTF">2026-03-10T04:57:00Z</dcterms:created>
  <dcterms:modified xsi:type="dcterms:W3CDTF">2026-03-10T04:57:00Z</dcterms:modified>
</cp:coreProperties>
</file>