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A6A5" w14:textId="17CBEEC9" w:rsidR="009D42DC" w:rsidRPr="00210E80" w:rsidRDefault="00210E80" w:rsidP="00D86648">
      <w:pPr>
        <w:rPr>
          <w:b/>
          <w:kern w:val="28"/>
          <w:sz w:val="24"/>
          <w:szCs w:val="52"/>
        </w:rPr>
      </w:pPr>
      <w:r w:rsidRPr="00210E80">
        <w:rPr>
          <w:b/>
          <w:noProof/>
          <w:kern w:val="28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5D3A" wp14:editId="5AB5F87E">
                <wp:simplePos x="0" y="0"/>
                <wp:positionH relativeFrom="margin">
                  <wp:posOffset>-146050</wp:posOffset>
                </wp:positionH>
                <wp:positionV relativeFrom="paragraph">
                  <wp:posOffset>-695960</wp:posOffset>
                </wp:positionV>
                <wp:extent cx="6919415" cy="5213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41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F964B" w14:textId="2E8D83E0" w:rsidR="00210E80" w:rsidRPr="00210E80" w:rsidRDefault="00EC3AA4" w:rsidP="00210E80">
                            <w:pPr>
                              <w:pStyle w:val="NLDTitle"/>
                            </w:pPr>
                            <w:r w:rsidRPr="00EC3AA4">
                              <w:t xml:space="preserve">Warning </w:t>
                            </w:r>
                            <w:r>
                              <w:t>L</w:t>
                            </w:r>
                            <w:r w:rsidRPr="00EC3AA4">
                              <w:t>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5D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5pt;margin-top:-54.8pt;width:544.8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oDFwIAACw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" filled="f" stroked="f" strokeweight=".5pt">
                <v:textbox>
                  <w:txbxContent>
                    <w:p w14:paraId="7C8F964B" w14:textId="2E8D83E0" w:rsidR="00210E80" w:rsidRPr="00210E80" w:rsidRDefault="00EC3AA4" w:rsidP="00210E80">
                      <w:pPr>
                        <w:pStyle w:val="NLDTitle"/>
                      </w:pPr>
                      <w:r w:rsidRPr="00EC3AA4">
                        <w:t xml:space="preserve">Warning </w:t>
                      </w:r>
                      <w:r>
                        <w:t>L</w:t>
                      </w:r>
                      <w:r w:rsidRPr="00EC3AA4">
                        <w:t>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2DC" w:rsidRPr="00210E80">
        <w:t xml:space="preserve">Last Update:  </w:t>
      </w:r>
      <w:r w:rsidR="000C309B">
        <w:t>March</w:t>
      </w:r>
      <w:r w:rsidR="000C309B" w:rsidRPr="00210E80">
        <w:t xml:space="preserve"> </w:t>
      </w:r>
      <w:r w:rsidR="00EC3AA4">
        <w:t>202</w:t>
      </w:r>
      <w:r w:rsidR="000C309B">
        <w:t>3</w:t>
      </w:r>
    </w:p>
    <w:p w14:paraId="6C48A137" w14:textId="77777777" w:rsidR="009D42DC" w:rsidRPr="0027067D" w:rsidRDefault="009D42DC" w:rsidP="0027067D">
      <w:pPr>
        <w:pStyle w:val="TOCHeading"/>
      </w:pPr>
      <w:r w:rsidRPr="003F5E6C">
        <w:t>Table of Contents</w:t>
      </w:r>
    </w:p>
    <w:sdt>
      <w:sdtPr>
        <w:rPr>
          <w:caps/>
        </w:rPr>
        <w:id w:val="-93484709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14:paraId="5E2406FC" w14:textId="055F1A1B" w:rsidR="00BD337D" w:rsidRDefault="008B4DA3" w:rsidP="00D4348E">
          <w:pPr>
            <w:pStyle w:val="TOC2"/>
            <w:tabs>
              <w:tab w:val="right" w:leader="dot" w:pos="10536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r>
            <w:rPr>
              <w:rFonts w:asciiTheme="majorHAnsi" w:eastAsiaTheme="majorEastAsia" w:hAnsiTheme="majorHAnsi" w:cstheme="majorBidi"/>
              <w:caps/>
              <w:sz w:val="32"/>
              <w:szCs w:val="32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aps/>
              <w:sz w:val="32"/>
              <w:szCs w:val="32"/>
              <w:lang w:val="en-US"/>
            </w:rPr>
            <w:fldChar w:fldCharType="separate"/>
          </w:r>
          <w:hyperlink w:anchor="_Toc105574975" w:history="1">
            <w:r w:rsidR="00BD337D" w:rsidRPr="00030348">
              <w:rPr>
                <w:rStyle w:val="Hyperlink"/>
                <w:noProof/>
              </w:rPr>
              <w:t>Related Resources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_Toc105574975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1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272CDEDE" w14:textId="785962C6" w:rsidR="00BD337D" w:rsidRDefault="00D9791C" w:rsidP="00D4348E">
          <w:pPr>
            <w:pStyle w:val="TOC2"/>
            <w:tabs>
              <w:tab w:val="right" w:leader="dot" w:pos="10536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76" w:history="1">
            <w:r w:rsidR="00BD337D" w:rsidRPr="00030348">
              <w:rPr>
                <w:rStyle w:val="Hyperlink"/>
                <w:noProof/>
              </w:rPr>
              <w:t>Decision to send a warning letter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_Toc105574976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1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7F6EC502" w14:textId="66D0AD0C" w:rsidR="00BD337D" w:rsidRDefault="00D9791C" w:rsidP="00D4348E">
          <w:pPr>
            <w:pStyle w:val="TOC3"/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77" w:history="1">
            <w:r w:rsidR="00BD337D" w:rsidRPr="00030348">
              <w:rPr>
                <w:rStyle w:val="Hyperlink"/>
                <w:noProof/>
              </w:rPr>
              <w:t>Who makes the decision to send the warning letter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_Toc105574977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2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5788E02D" w14:textId="261551A5" w:rsidR="00BD337D" w:rsidRDefault="00D9791C" w:rsidP="00D4348E">
          <w:pPr>
            <w:pStyle w:val="TOC2"/>
            <w:tabs>
              <w:tab w:val="right" w:leader="dot" w:pos="10536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78" w:history="1">
            <w:r w:rsidR="00BD337D" w:rsidRPr="00030348">
              <w:rPr>
                <w:rStyle w:val="Hyperlink"/>
                <w:rFonts w:cs="Calibri"/>
                <w:noProof/>
              </w:rPr>
              <w:t>The content of warning letters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_Toc105574978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2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390D0154" w14:textId="1AE9EFED" w:rsidR="00BD337D" w:rsidRDefault="00D9791C" w:rsidP="00D4348E">
          <w:pPr>
            <w:pStyle w:val="TOC2"/>
            <w:tabs>
              <w:tab w:val="right" w:leader="dot" w:pos="10536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79" w:history="1">
            <w:r w:rsidR="00BD337D" w:rsidRPr="00030348">
              <w:rPr>
                <w:rStyle w:val="Hyperlink"/>
                <w:noProof/>
              </w:rPr>
              <w:t>How should the warning letter be sent?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_Toc105574979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2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42F8CB55" w14:textId="1BA6076E" w:rsidR="00BD337D" w:rsidRDefault="00D9791C" w:rsidP="00D4348E">
          <w:pPr>
            <w:pStyle w:val="TOC2"/>
            <w:tabs>
              <w:tab w:val="right" w:leader="dot" w:pos="10536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80" w:history="1">
            <w:r w:rsidR="00BD337D" w:rsidRPr="00030348">
              <w:rPr>
                <w:rStyle w:val="Hyperlink"/>
                <w:noProof/>
              </w:rPr>
              <w:t>Copy of warning letter to referring agency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_Toc105574980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2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5D9D5139" w14:textId="50A7321D" w:rsidR="00BD337D" w:rsidRDefault="00D9791C" w:rsidP="00D4348E">
          <w:pPr>
            <w:pStyle w:val="TOC3"/>
            <w:ind w:left="0"/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05574981" w:history="1">
            <w:r w:rsidR="00BD337D" w:rsidRPr="00030348">
              <w:rPr>
                <w:rStyle w:val="Hyperlink"/>
                <w:noProof/>
              </w:rPr>
              <w:t>Warning letters sent by referring agency</w:t>
            </w:r>
            <w:r w:rsidR="00BD337D">
              <w:rPr>
                <w:noProof/>
                <w:webHidden/>
              </w:rPr>
              <w:tab/>
            </w:r>
            <w:r w:rsidR="00BD337D">
              <w:rPr>
                <w:noProof/>
                <w:webHidden/>
              </w:rPr>
              <w:fldChar w:fldCharType="begin"/>
            </w:r>
            <w:r w:rsidR="00BD337D">
              <w:rPr>
                <w:noProof/>
                <w:webHidden/>
              </w:rPr>
              <w:instrText xml:space="preserve"> PAGEREF _Toc105574981 \h </w:instrText>
            </w:r>
            <w:r w:rsidR="00BD337D">
              <w:rPr>
                <w:noProof/>
                <w:webHidden/>
              </w:rPr>
            </w:r>
            <w:r w:rsidR="00BD337D">
              <w:rPr>
                <w:noProof/>
                <w:webHidden/>
              </w:rPr>
              <w:fldChar w:fldCharType="separate"/>
            </w:r>
            <w:r w:rsidR="000C309B">
              <w:rPr>
                <w:noProof/>
                <w:webHidden/>
              </w:rPr>
              <w:t>3</w:t>
            </w:r>
            <w:r w:rsidR="00BD337D">
              <w:rPr>
                <w:noProof/>
                <w:webHidden/>
              </w:rPr>
              <w:fldChar w:fldCharType="end"/>
            </w:r>
          </w:hyperlink>
        </w:p>
        <w:p w14:paraId="3A878859" w14:textId="5EC47936" w:rsidR="008B4DA3" w:rsidRDefault="008B4DA3" w:rsidP="00760DBD">
          <w:pPr>
            <w:tabs>
              <w:tab w:val="right" w:leader="dot" w:pos="10348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82A4C3D" w14:textId="136F2FEB" w:rsidR="001149C5" w:rsidRPr="00322629" w:rsidRDefault="001149C5" w:rsidP="00D51BCE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105574975"/>
      <w:bookmarkStart w:id="1" w:name="_Toc398287325"/>
      <w:bookmarkStart w:id="2" w:name="_Toc398287425"/>
      <w:bookmarkStart w:id="3" w:name="_Toc398291388"/>
      <w:r>
        <w:t>Related Resources</w:t>
      </w:r>
      <w:bookmarkEnd w:id="0"/>
    </w:p>
    <w:p w14:paraId="2B8E0BDC" w14:textId="5889A90C" w:rsidR="001149C5" w:rsidRDefault="00D9791C" w:rsidP="001149C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hyperlink r:id="rId13" w:history="1">
        <w:r w:rsidR="00322629" w:rsidRPr="00530C51">
          <w:rPr>
            <w:rStyle w:val="Hyperlink"/>
            <w:rFonts w:cstheme="minorHAnsi"/>
            <w:szCs w:val="22"/>
          </w:rPr>
          <w:t>Prosecution Policy of the Commonwealth</w:t>
        </w:r>
      </w:hyperlink>
      <w:r w:rsidR="00322629">
        <w:rPr>
          <w:rFonts w:asciiTheme="minorHAnsi" w:hAnsiTheme="minorHAnsi" w:cstheme="minorHAnsi"/>
          <w:szCs w:val="22"/>
        </w:rPr>
        <w:t>, in particular paragraphs 2.8 to 2.1</w:t>
      </w:r>
      <w:r w:rsidR="000C309B">
        <w:rPr>
          <w:rFonts w:asciiTheme="minorHAnsi" w:hAnsiTheme="minorHAnsi" w:cstheme="minorHAnsi"/>
          <w:szCs w:val="22"/>
        </w:rPr>
        <w:t>8</w:t>
      </w:r>
    </w:p>
    <w:p w14:paraId="7C869FF6" w14:textId="4C3213B1" w:rsidR="000B1A56" w:rsidRPr="00D51BCE" w:rsidRDefault="003032EC" w:rsidP="00D51BCE">
      <w:pPr>
        <w:pStyle w:val="Heading2"/>
      </w:pPr>
      <w:bookmarkStart w:id="4" w:name="_Toc105574976"/>
      <w:r w:rsidRPr="003032EC">
        <w:t>Decision to send a warning letter</w:t>
      </w:r>
      <w:bookmarkEnd w:id="4"/>
    </w:p>
    <w:p w14:paraId="48615C6E" w14:textId="3C761D24" w:rsidR="003032EC" w:rsidRDefault="008D6329" w:rsidP="00D4348E">
      <w:pPr>
        <w:pStyle w:val="NumberedList1"/>
        <w:ind w:hanging="426"/>
      </w:pPr>
      <w:r>
        <w:t xml:space="preserve">The </w:t>
      </w:r>
      <w:r w:rsidRPr="00CA1613">
        <w:rPr>
          <w:i/>
          <w:iCs/>
        </w:rPr>
        <w:t>Prosecution Policy of the Commonwealth</w:t>
      </w:r>
      <w:r>
        <w:t xml:space="preserve"> provides that once a prosecutor is satisfied that sufficient </w:t>
      </w:r>
      <w:r w:rsidR="0059595A">
        <w:t xml:space="preserve">evidence </w:t>
      </w:r>
      <w:r w:rsidR="00155FD5">
        <w:t xml:space="preserve">exists </w:t>
      </w:r>
      <w:r>
        <w:t xml:space="preserve">to </w:t>
      </w:r>
      <w:r w:rsidR="00155FD5">
        <w:t xml:space="preserve">establish a prima facie case and </w:t>
      </w:r>
      <w:r w:rsidR="000C309B">
        <w:t xml:space="preserve">a </w:t>
      </w:r>
      <w:r w:rsidR="00155FD5">
        <w:t xml:space="preserve">reasonable prospect of conviction, </w:t>
      </w:r>
      <w:r>
        <w:t>the prosecutor must then consider whether, in the light of the provable facts and the whole of the surrounding circumstances, the public interest requires a prosecution to be pursued</w:t>
      </w:r>
      <w:r w:rsidR="00155FD5">
        <w:t xml:space="preserve"> (see paragraph 2.8)</w:t>
      </w:r>
      <w:r>
        <w:t>. It is not the rule that all offences brought to the attention of the authorities must be prosecuted.</w:t>
      </w:r>
      <w:r w:rsidR="00155FD5">
        <w:t xml:space="preserve">        </w:t>
      </w:r>
      <w:r w:rsidR="003032EC">
        <w:t xml:space="preserve"> </w:t>
      </w:r>
    </w:p>
    <w:p w14:paraId="7E9702D1" w14:textId="03B9B56F" w:rsidR="00EF7628" w:rsidRDefault="00155FD5" w:rsidP="00D4348E">
      <w:pPr>
        <w:pStyle w:val="NumberedList1"/>
        <w:ind w:hanging="426"/>
      </w:pPr>
      <w:bookmarkStart w:id="5" w:name="_Hlk101947824"/>
      <w:r>
        <w:t>A warning letter, being a formal warning from the CDPP to the person about his or her alleged conduct, may be an effective alternative to prosecution in an appropriate case.</w:t>
      </w:r>
      <w:r w:rsidR="00734C14">
        <w:rPr>
          <w:rStyle w:val="FootnoteReference"/>
        </w:rPr>
        <w:footnoteReference w:id="1"/>
      </w:r>
      <w:r>
        <w:t xml:space="preserve"> T</w:t>
      </w:r>
      <w:r w:rsidR="003032EC">
        <w:t xml:space="preserve">he </w:t>
      </w:r>
      <w:r w:rsidR="003032EC" w:rsidRPr="00C03825">
        <w:rPr>
          <w:i/>
          <w:iCs/>
        </w:rPr>
        <w:t>Prosecution Policy of the Commonwealth</w:t>
      </w:r>
      <w:r>
        <w:rPr>
          <w:i/>
          <w:iCs/>
        </w:rPr>
        <w:t xml:space="preserve"> </w:t>
      </w:r>
      <w:r>
        <w:t xml:space="preserve">sets out a non-exhaustive list of factors which may arise for consideration in determining whether the public interest requires a prosecution </w:t>
      </w:r>
      <w:r w:rsidR="00B14BBC">
        <w:t xml:space="preserve">(see paragraph 2.10).  This list of factors includes </w:t>
      </w:r>
      <w:r w:rsidR="00EF7628">
        <w:t xml:space="preserve">availability </w:t>
      </w:r>
      <w:r>
        <w:t xml:space="preserve">and </w:t>
      </w:r>
      <w:r w:rsidR="00EF7628">
        <w:t>efficacy of any alternatives to prosecution (paragraph 2.10(j)</w:t>
      </w:r>
      <w:r w:rsidR="00B14BBC">
        <w:t>)</w:t>
      </w:r>
      <w:r>
        <w:t xml:space="preserve">.  </w:t>
      </w:r>
      <w:r w:rsidR="00EF7628">
        <w:t xml:space="preserve"> </w:t>
      </w:r>
    </w:p>
    <w:p w14:paraId="3FB6BF81" w14:textId="638289CD" w:rsidR="00EF7628" w:rsidRDefault="00165A9C" w:rsidP="00D4348E">
      <w:pPr>
        <w:pStyle w:val="NumberedList1"/>
        <w:ind w:hanging="426"/>
      </w:pPr>
      <w:r>
        <w:t>As noted in paragraph 2.9 of the Policy</w:t>
      </w:r>
      <w:r w:rsidR="00123957">
        <w:t xml:space="preserve"> “generally speaking the more serious the offence the less likely it will be that the public interest will not require that a prosecution be pursued.”.</w:t>
      </w:r>
      <w:r w:rsidR="00B14BBC">
        <w:t xml:space="preserve">  A warning letter is likely to be </w:t>
      </w:r>
      <w:r w:rsidR="000C309B">
        <w:t>in</w:t>
      </w:r>
      <w:r w:rsidR="00B14BBC">
        <w:t xml:space="preserve">appropriate in </w:t>
      </w:r>
      <w:r w:rsidR="00123957">
        <w:t>a case involving serious offending</w:t>
      </w:r>
      <w:r w:rsidR="00B14BBC">
        <w:t xml:space="preserve">.  However, a warning letter may be a suitable and effective alternative to prosecution in a matter involving </w:t>
      </w:r>
      <w:r w:rsidR="000536F4">
        <w:t>more</w:t>
      </w:r>
      <w:r w:rsidR="00E75CC0">
        <w:t xml:space="preserve"> minor offending</w:t>
      </w:r>
      <w:r w:rsidR="0017425D">
        <w:t xml:space="preserve"> where, for example, the </w:t>
      </w:r>
      <w:r w:rsidR="00E75CC0">
        <w:t>alleged</w:t>
      </w:r>
      <w:r w:rsidR="0017425D">
        <w:t xml:space="preserve"> offending is o</w:t>
      </w:r>
      <w:r w:rsidR="00E75CC0">
        <w:t>ut of char</w:t>
      </w:r>
      <w:r w:rsidR="0059595A">
        <w:t>ac</w:t>
      </w:r>
      <w:r w:rsidR="00E75CC0">
        <w:t xml:space="preserve">ter </w:t>
      </w:r>
      <w:r w:rsidR="0017425D">
        <w:t xml:space="preserve">and committed </w:t>
      </w:r>
      <w:r w:rsidR="00E75CC0">
        <w:t xml:space="preserve">by a person with no </w:t>
      </w:r>
      <w:r w:rsidR="002E4493">
        <w:t xml:space="preserve">relevant </w:t>
      </w:r>
      <w:r w:rsidR="00E75CC0">
        <w:t xml:space="preserve">criminal history.  </w:t>
      </w:r>
      <w:r w:rsidR="0017425D">
        <w:t xml:space="preserve">All of the factors set out </w:t>
      </w:r>
      <w:r w:rsidR="00C53446">
        <w:t xml:space="preserve">in </w:t>
      </w:r>
      <w:r w:rsidR="0017425D">
        <w:t xml:space="preserve">the </w:t>
      </w:r>
      <w:r w:rsidR="0017425D" w:rsidRPr="00CA1613">
        <w:rPr>
          <w:i/>
          <w:iCs/>
        </w:rPr>
        <w:t>Prosecution Policy of the Commonwealth</w:t>
      </w:r>
      <w:r w:rsidR="0017425D">
        <w:t xml:space="preserve"> </w:t>
      </w:r>
      <w:r w:rsidR="002E4493">
        <w:t xml:space="preserve">which go to the question </w:t>
      </w:r>
      <w:r w:rsidR="0059595A">
        <w:t xml:space="preserve">of </w:t>
      </w:r>
      <w:r w:rsidR="002E4493">
        <w:t xml:space="preserve">whether the public interest requires a prosecution may also be relevant to the question of whether </w:t>
      </w:r>
      <w:r w:rsidR="0017425D">
        <w:t>it is appropriate to send a warning letter as an alternative to prosecution</w:t>
      </w:r>
      <w:r w:rsidR="00C53446">
        <w:t xml:space="preserve"> (see paragraph 2.10)</w:t>
      </w:r>
      <w:r w:rsidR="0017425D">
        <w:t>.</w:t>
      </w:r>
      <w:r w:rsidR="00C53446">
        <w:t xml:space="preserve">  T</w:t>
      </w:r>
      <w:r w:rsidR="00E75CC0">
        <w:t xml:space="preserve">he </w:t>
      </w:r>
      <w:r w:rsidR="00E75CC0" w:rsidRPr="00CA1613">
        <w:rPr>
          <w:i/>
          <w:iCs/>
        </w:rPr>
        <w:t>Prosecution Policy of the Commonwealth</w:t>
      </w:r>
      <w:r w:rsidR="00E75CC0">
        <w:t xml:space="preserve"> </w:t>
      </w:r>
      <w:r w:rsidR="00C53446">
        <w:t xml:space="preserve">also </w:t>
      </w:r>
      <w:r w:rsidR="00EF7628">
        <w:t xml:space="preserve">identifies </w:t>
      </w:r>
      <w:r w:rsidR="00C53446">
        <w:t xml:space="preserve">further </w:t>
      </w:r>
      <w:r w:rsidR="00EF7628">
        <w:t xml:space="preserve">specific public interest factors to consider when assessing whether it is in the public interest to prosecute a </w:t>
      </w:r>
      <w:r w:rsidR="000C309B">
        <w:t>juvenile</w:t>
      </w:r>
      <w:r w:rsidR="00EF7628">
        <w:t>, including the availability of alternatives such as a caution, and their efficacy (</w:t>
      </w:r>
      <w:r w:rsidR="00E75CC0">
        <w:t>see</w:t>
      </w:r>
      <w:r w:rsidR="00EF7628">
        <w:t xml:space="preserve"> paragraph 2.16(c)).</w:t>
      </w:r>
    </w:p>
    <w:p w14:paraId="7779DC00" w14:textId="6486D43B" w:rsidR="000C309B" w:rsidRDefault="000C309B" w:rsidP="00D4348E">
      <w:pPr>
        <w:pStyle w:val="NumberedList1"/>
        <w:ind w:hanging="426"/>
      </w:pPr>
      <w:r>
        <w:lastRenderedPageBreak/>
        <w:t xml:space="preserve">In </w:t>
      </w:r>
      <w:r w:rsidR="003B4828">
        <w:t>determining</w:t>
      </w:r>
      <w:r>
        <w:t xml:space="preserve"> whether to issue a warning letter the availability of any diversionary schemes</w:t>
      </w:r>
      <w:r w:rsidR="003B4828">
        <w:t xml:space="preserve"> that may be available should be considered.</w:t>
      </w:r>
    </w:p>
    <w:bookmarkEnd w:id="5"/>
    <w:p w14:paraId="051CC124" w14:textId="6E2040CF" w:rsidR="003032EC" w:rsidRDefault="00E75CC0" w:rsidP="00D4348E">
      <w:pPr>
        <w:pStyle w:val="NumberedList1"/>
        <w:ind w:hanging="426"/>
      </w:pPr>
      <w:r>
        <w:t xml:space="preserve">It is not a pre-requisite to the use of a warning letter that </w:t>
      </w:r>
      <w:r w:rsidR="00BC0F65">
        <w:t xml:space="preserve">the person </w:t>
      </w:r>
      <w:r>
        <w:t xml:space="preserve">must have </w:t>
      </w:r>
      <w:r w:rsidR="00BC0F65">
        <w:t xml:space="preserve">made </w:t>
      </w:r>
      <w:r w:rsidR="003032EC">
        <w:t>admissions</w:t>
      </w:r>
      <w:r w:rsidR="00BC0F65">
        <w:t xml:space="preserve"> to the alleged </w:t>
      </w:r>
      <w:r w:rsidR="002E4493">
        <w:t xml:space="preserve">criminal </w:t>
      </w:r>
      <w:r w:rsidR="00BC0F65">
        <w:t>conduct</w:t>
      </w:r>
      <w:r>
        <w:t xml:space="preserve">.  The use of a warning letter is open provided </w:t>
      </w:r>
      <w:r w:rsidR="00BC0F65">
        <w:t xml:space="preserve">the </w:t>
      </w:r>
      <w:r>
        <w:t>prosecutor</w:t>
      </w:r>
      <w:r w:rsidR="00BC0F65">
        <w:t xml:space="preserve"> is of the view that </w:t>
      </w:r>
      <w:r w:rsidR="003032EC">
        <w:t xml:space="preserve">there </w:t>
      </w:r>
      <w:r>
        <w:t xml:space="preserve">is a prima facie case and </w:t>
      </w:r>
      <w:r w:rsidR="003032EC">
        <w:t>reasonable prospects of conviction.  Th</w:t>
      </w:r>
      <w:r>
        <w:t xml:space="preserve">ere is also no requirement that a prosecutor </w:t>
      </w:r>
      <w:r w:rsidR="00C57C4A">
        <w:t xml:space="preserve">must </w:t>
      </w:r>
      <w:r>
        <w:t>send a warning letter in every case in which he or she decides that a prosecution would not be in the public interest</w:t>
      </w:r>
      <w:r w:rsidR="002E4493">
        <w:t>.  The sending of a warning letter in many such cases may indeed be quite inappropriate.</w:t>
      </w:r>
      <w:r w:rsidR="003032EC">
        <w:t xml:space="preserve"> </w:t>
      </w:r>
      <w:r>
        <w:t xml:space="preserve"> </w:t>
      </w:r>
      <w:r w:rsidR="002E4493">
        <w:t xml:space="preserve">There is a discretion to be exercised by prosecutors </w:t>
      </w:r>
      <w:r w:rsidR="00C57C4A">
        <w:t>when considering the use of a w</w:t>
      </w:r>
      <w:r>
        <w:t xml:space="preserve">arning </w:t>
      </w:r>
      <w:r w:rsidR="002E4493">
        <w:t xml:space="preserve">letter </w:t>
      </w:r>
      <w:r>
        <w:t xml:space="preserve">having regard to </w:t>
      </w:r>
      <w:r w:rsidR="002E4493">
        <w:t>the provable facts and the whole of the surrounding circumstances</w:t>
      </w:r>
      <w:r w:rsidR="00C57C4A">
        <w:t xml:space="preserve"> </w:t>
      </w:r>
      <w:r w:rsidR="002E4493">
        <w:t xml:space="preserve">and </w:t>
      </w:r>
      <w:r w:rsidR="00C57C4A">
        <w:t xml:space="preserve">having </w:t>
      </w:r>
      <w:r w:rsidR="002E4493">
        <w:t xml:space="preserve">applied </w:t>
      </w:r>
      <w:r w:rsidR="00C57C4A">
        <w:t xml:space="preserve">the </w:t>
      </w:r>
      <w:r w:rsidR="00C57C4A" w:rsidRPr="00CA1613">
        <w:rPr>
          <w:i/>
          <w:iCs/>
        </w:rPr>
        <w:t>Prosecution Policy of the Commonwealth</w:t>
      </w:r>
      <w:r w:rsidR="00C57C4A">
        <w:t>.</w:t>
      </w:r>
      <w:r w:rsidR="00E318AE">
        <w:t xml:space="preserve">  Such a discretion should not be exercised without prior </w:t>
      </w:r>
      <w:r w:rsidR="004224AF">
        <w:t>consult</w:t>
      </w:r>
      <w:r w:rsidR="00E318AE">
        <w:t xml:space="preserve">ation </w:t>
      </w:r>
      <w:r w:rsidR="004224AF">
        <w:t xml:space="preserve">with the referring agency </w:t>
      </w:r>
      <w:r w:rsidR="00C57C4A">
        <w:t xml:space="preserve">and </w:t>
      </w:r>
      <w:r w:rsidR="00E318AE">
        <w:t xml:space="preserve">without first having sought </w:t>
      </w:r>
      <w:r w:rsidR="00C57C4A">
        <w:t xml:space="preserve">the views of </w:t>
      </w:r>
      <w:r w:rsidR="004224AF">
        <w:t xml:space="preserve">any victim. </w:t>
      </w:r>
    </w:p>
    <w:p w14:paraId="7B6FEBEA" w14:textId="77777777" w:rsidR="003032EC" w:rsidRDefault="003032EC" w:rsidP="00C17BFA">
      <w:pPr>
        <w:pStyle w:val="Heading3"/>
        <w:rPr>
          <w:color w:val="0084A5" w:themeColor="accent6" w:themeShade="BF"/>
          <w:sz w:val="28"/>
          <w:szCs w:val="28"/>
        </w:rPr>
      </w:pPr>
      <w:bookmarkStart w:id="6" w:name="_Toc436837647"/>
      <w:bookmarkEnd w:id="1"/>
      <w:bookmarkEnd w:id="2"/>
      <w:bookmarkEnd w:id="3"/>
    </w:p>
    <w:p w14:paraId="64B7BD4F" w14:textId="77E24572" w:rsidR="003032EC" w:rsidRDefault="003032EC" w:rsidP="00C17BFA">
      <w:pPr>
        <w:pStyle w:val="Heading3"/>
        <w:rPr>
          <w:color w:val="0084A5" w:themeColor="accent6" w:themeShade="BF"/>
          <w:sz w:val="28"/>
          <w:szCs w:val="28"/>
        </w:rPr>
      </w:pPr>
      <w:bookmarkStart w:id="7" w:name="_Toc105574977"/>
      <w:r w:rsidRPr="003032EC">
        <w:rPr>
          <w:color w:val="0084A5" w:themeColor="accent6" w:themeShade="BF"/>
          <w:sz w:val="28"/>
          <w:szCs w:val="28"/>
        </w:rPr>
        <w:t>Who makes the decision to send the warning letter</w:t>
      </w:r>
      <w:bookmarkEnd w:id="7"/>
      <w:r w:rsidRPr="003032EC">
        <w:rPr>
          <w:color w:val="0084A5" w:themeColor="accent6" w:themeShade="BF"/>
          <w:sz w:val="28"/>
          <w:szCs w:val="28"/>
        </w:rPr>
        <w:t xml:space="preserve"> </w:t>
      </w:r>
    </w:p>
    <w:p w14:paraId="66487361" w14:textId="396DB0D6" w:rsidR="00085B68" w:rsidRDefault="003B0BD3" w:rsidP="00D4348E">
      <w:pPr>
        <w:pStyle w:val="NumberedList1"/>
        <w:ind w:hanging="426"/>
      </w:pPr>
      <w:r>
        <w:t xml:space="preserve">In accordance with </w:t>
      </w:r>
      <w:r w:rsidR="00C57C4A">
        <w:t xml:space="preserve">paragraph </w:t>
      </w:r>
      <w:r>
        <w:t xml:space="preserve">2.21 of the </w:t>
      </w:r>
      <w:r w:rsidR="00C57C4A">
        <w:t xml:space="preserve">CDPP </w:t>
      </w:r>
      <w:r>
        <w:t>D</w:t>
      </w:r>
      <w:r w:rsidR="00C57C4A">
        <w:t>ecision Making Matrix (DMM),</w:t>
      </w:r>
      <w:r>
        <w:t xml:space="preserve"> t</w:t>
      </w:r>
      <w:r w:rsidR="003032EC" w:rsidRPr="003032EC">
        <w:t xml:space="preserve">he </w:t>
      </w:r>
      <w:r w:rsidR="00E318AE">
        <w:t xml:space="preserve">decision whether or not to </w:t>
      </w:r>
      <w:r w:rsidR="003032EC" w:rsidRPr="003032EC">
        <w:t xml:space="preserve">send a warning letter </w:t>
      </w:r>
      <w:r w:rsidR="00E318AE">
        <w:t xml:space="preserve">is a matter for </w:t>
      </w:r>
      <w:r w:rsidR="00C57C4A">
        <w:t xml:space="preserve">a </w:t>
      </w:r>
      <w:r w:rsidR="003032EC" w:rsidRPr="003032EC">
        <w:t xml:space="preserve">Branch Head.  However, the decision </w:t>
      </w:r>
      <w:r>
        <w:t xml:space="preserve">must </w:t>
      </w:r>
      <w:r w:rsidR="003032EC" w:rsidRPr="003032EC">
        <w:t xml:space="preserve">be made by the </w:t>
      </w:r>
      <w:r>
        <w:t>Practice Group Leader in the circumstances listed in the DMM</w:t>
      </w:r>
      <w:r w:rsidR="00C57C4A">
        <w:t>,</w:t>
      </w:r>
      <w:r>
        <w:t xml:space="preserve"> including </w:t>
      </w:r>
      <w:r w:rsidR="003032EC" w:rsidRPr="003032EC">
        <w:t>matter</w:t>
      </w:r>
      <w:r>
        <w:t xml:space="preserve">s that are </w:t>
      </w:r>
      <w:r w:rsidR="003032EC" w:rsidRPr="003032EC">
        <w:t xml:space="preserve">high profile or sensitive or </w:t>
      </w:r>
      <w:r w:rsidR="00E318AE">
        <w:t xml:space="preserve">where </w:t>
      </w:r>
      <w:r w:rsidR="003032EC" w:rsidRPr="003032EC">
        <w:t>the decision to send a warning letter may be contentious.</w:t>
      </w:r>
    </w:p>
    <w:p w14:paraId="786EC71D" w14:textId="0DC9A461" w:rsidR="00085B68" w:rsidRPr="009D42DC" w:rsidRDefault="003032EC" w:rsidP="0027067D">
      <w:pPr>
        <w:pStyle w:val="Heading2"/>
      </w:pPr>
      <w:bookmarkStart w:id="8" w:name="_Toc105574978"/>
      <w:bookmarkStart w:id="9" w:name="_Toc436837648"/>
      <w:bookmarkEnd w:id="6"/>
      <w:r w:rsidRPr="000B5C36">
        <w:rPr>
          <w:rFonts w:cs="Calibri"/>
        </w:rPr>
        <w:t>The content of warning letters</w:t>
      </w:r>
      <w:bookmarkEnd w:id="8"/>
    </w:p>
    <w:p w14:paraId="55A8F6B8" w14:textId="0AF7B038" w:rsidR="003032EC" w:rsidRDefault="003032EC" w:rsidP="0058118D">
      <w:pPr>
        <w:pStyle w:val="NumberedList1"/>
        <w:ind w:hanging="426"/>
      </w:pPr>
      <w:r>
        <w:t xml:space="preserve">A template warning letter can be found </w:t>
      </w:r>
      <w:r w:rsidR="0058118D">
        <w:t xml:space="preserve">on the Word ribbon under ‘National’, ‘Correspondence to members of the public’. </w:t>
      </w:r>
    </w:p>
    <w:p w14:paraId="4E0DC42A" w14:textId="77777777" w:rsidR="003032EC" w:rsidRDefault="003032EC" w:rsidP="00D4348E">
      <w:pPr>
        <w:pStyle w:val="NumberedList1"/>
        <w:ind w:hanging="426"/>
      </w:pPr>
      <w:r>
        <w:t>Warning letters should:</w:t>
      </w:r>
    </w:p>
    <w:p w14:paraId="012B5880" w14:textId="3E72ED87" w:rsidR="003032EC" w:rsidRDefault="003032EC" w:rsidP="00D4348E">
      <w:pPr>
        <w:pStyle w:val="NumberedList1"/>
        <w:numPr>
          <w:ilvl w:val="1"/>
          <w:numId w:val="29"/>
        </w:numPr>
        <w:ind w:left="851" w:hanging="425"/>
      </w:pPr>
      <w:r>
        <w:t>state that the CDPP has received a brief of evidence;</w:t>
      </w:r>
    </w:p>
    <w:p w14:paraId="4618A761" w14:textId="5A0F3A78" w:rsidR="003032EC" w:rsidRDefault="003032EC" w:rsidP="00D4348E">
      <w:pPr>
        <w:pStyle w:val="NumberedList1"/>
        <w:numPr>
          <w:ilvl w:val="1"/>
          <w:numId w:val="29"/>
        </w:numPr>
        <w:ind w:left="851" w:hanging="425"/>
      </w:pPr>
      <w:r>
        <w:t>identify the alleged conduct with sufficient information to allow the recipient to identify the incident;</w:t>
      </w:r>
    </w:p>
    <w:p w14:paraId="59E7EC1C" w14:textId="1542F30D" w:rsidR="003032EC" w:rsidRDefault="003032EC" w:rsidP="00D4348E">
      <w:pPr>
        <w:pStyle w:val="NumberedList1"/>
        <w:numPr>
          <w:ilvl w:val="1"/>
          <w:numId w:val="29"/>
        </w:numPr>
        <w:ind w:left="851" w:hanging="425"/>
      </w:pPr>
      <w:r>
        <w:t>state that the CDPP has decided there is sufficient evidence to prosecute for a nominated offence, and refer to the maximum penalty; and</w:t>
      </w:r>
    </w:p>
    <w:p w14:paraId="5DFE99E1" w14:textId="78FC0832" w:rsidR="003032EC" w:rsidRDefault="003032EC" w:rsidP="00D4348E">
      <w:pPr>
        <w:pStyle w:val="NumberedList1"/>
        <w:numPr>
          <w:ilvl w:val="1"/>
          <w:numId w:val="29"/>
        </w:numPr>
        <w:ind w:left="851" w:hanging="425"/>
      </w:pPr>
      <w:r>
        <w:t>state that it has been decided not to prosecute the offence in the public interest and</w:t>
      </w:r>
      <w:r w:rsidR="00E318AE">
        <w:t xml:space="preserve">, where appropriate, highlight any key </w:t>
      </w:r>
      <w:r>
        <w:t>reason</w:t>
      </w:r>
      <w:r w:rsidR="00E318AE">
        <w:t xml:space="preserve"> or reasons for this assessment</w:t>
      </w:r>
      <w:r>
        <w:t>.</w:t>
      </w:r>
    </w:p>
    <w:p w14:paraId="512F3943" w14:textId="77777777" w:rsidR="003032EC" w:rsidRPr="0079209B" w:rsidRDefault="003032EC" w:rsidP="00D4348E">
      <w:pPr>
        <w:pStyle w:val="NumberedList1"/>
        <w:ind w:hanging="426"/>
      </w:pPr>
      <w:r w:rsidRPr="0079209B">
        <w:t xml:space="preserve">Warning letters should </w:t>
      </w:r>
      <w:r w:rsidRPr="0079209B">
        <w:rPr>
          <w:b/>
          <w:bCs/>
          <w:i/>
          <w:iCs/>
        </w:rPr>
        <w:t>not</w:t>
      </w:r>
      <w:r w:rsidRPr="0079209B">
        <w:t>:</w:t>
      </w:r>
    </w:p>
    <w:p w14:paraId="7BB87C1E" w14:textId="77D34F83" w:rsidR="003032EC" w:rsidRPr="0079209B" w:rsidRDefault="003032EC" w:rsidP="00D4348E">
      <w:pPr>
        <w:pStyle w:val="NumberedList1"/>
        <w:numPr>
          <w:ilvl w:val="1"/>
          <w:numId w:val="30"/>
        </w:numPr>
        <w:ind w:left="851"/>
      </w:pPr>
      <w:r w:rsidRPr="0079209B">
        <w:t>assert that the recipient has committed an offence; or</w:t>
      </w:r>
    </w:p>
    <w:p w14:paraId="79CC03D1" w14:textId="21B27EAA" w:rsidR="00D4348E" w:rsidRPr="0079209B" w:rsidRDefault="000536F4" w:rsidP="00D4348E">
      <w:pPr>
        <w:pStyle w:val="NumberedList1"/>
        <w:numPr>
          <w:ilvl w:val="0"/>
          <w:numId w:val="30"/>
        </w:numPr>
        <w:ind w:left="851"/>
      </w:pPr>
      <w:r>
        <w:t>make any claims in relation to taking the warning letter into account if there is a subsequent referral</w:t>
      </w:r>
      <w:r w:rsidR="00D4348E">
        <w:t>. T</w:t>
      </w:r>
      <w:r w:rsidR="00400033">
        <w:t>o communicate the outcome of the CDPP’s assessment is what constitutes the warning and is the purpose of the letter</w:t>
      </w:r>
      <w:r w:rsidR="00D4348E">
        <w:t>.</w:t>
      </w:r>
      <w:r w:rsidR="00400033">
        <w:t xml:space="preserve"> </w:t>
      </w:r>
    </w:p>
    <w:p w14:paraId="5411009E" w14:textId="4951349D" w:rsidR="00F912BD" w:rsidRDefault="00F912BD" w:rsidP="00D4348E">
      <w:pPr>
        <w:pStyle w:val="NumberedList1"/>
        <w:ind w:hanging="426"/>
      </w:pPr>
      <w:r w:rsidRPr="0079209B">
        <w:t xml:space="preserve">Warning letters should be in plain </w:t>
      </w:r>
      <w:r w:rsidR="00E318AE">
        <w:t>English</w:t>
      </w:r>
      <w:r w:rsidR="0059595A">
        <w:t xml:space="preserve"> and</w:t>
      </w:r>
      <w:r w:rsidR="00E318AE">
        <w:t xml:space="preserve"> should </w:t>
      </w:r>
      <w:r w:rsidR="0079209B" w:rsidRPr="0079209B">
        <w:t xml:space="preserve">avoid </w:t>
      </w:r>
      <w:r w:rsidR="00C57C4A">
        <w:t xml:space="preserve">the use of </w:t>
      </w:r>
      <w:r w:rsidR="0079209B" w:rsidRPr="0079209B">
        <w:t>legalese.</w:t>
      </w:r>
      <w:r w:rsidRPr="0079209B">
        <w:t xml:space="preserve"> </w:t>
      </w:r>
      <w:r w:rsidR="000826C3" w:rsidRPr="0079209B">
        <w:t xml:space="preserve"> </w:t>
      </w:r>
    </w:p>
    <w:p w14:paraId="43CA165B" w14:textId="4A2160B2" w:rsidR="00302714" w:rsidRDefault="00302714" w:rsidP="00D4348E">
      <w:pPr>
        <w:pStyle w:val="Heading2"/>
      </w:pPr>
      <w:bookmarkStart w:id="10" w:name="_Toc105574979"/>
      <w:r>
        <w:t>How should the warning letter be sent?</w:t>
      </w:r>
      <w:bookmarkEnd w:id="10"/>
    </w:p>
    <w:p w14:paraId="2E56B6B3" w14:textId="50452762" w:rsidR="00302714" w:rsidRPr="0079209B" w:rsidRDefault="00302714" w:rsidP="00D4348E">
      <w:pPr>
        <w:pStyle w:val="NumberedList1"/>
        <w:ind w:hanging="426"/>
      </w:pPr>
      <w:r>
        <w:t>In circumstances where the case officer is confident that the person is likely to receive the warning letter if it is sent to his or her residential address ordinar</w:t>
      </w:r>
      <w:r w:rsidR="00BD337D">
        <w:t>il</w:t>
      </w:r>
      <w:r>
        <w:t xml:space="preserve">y mail will suffice.  There may be circumstances </w:t>
      </w:r>
      <w:r w:rsidR="000536F4">
        <w:t>where,</w:t>
      </w:r>
      <w:r>
        <w:t xml:space="preserve"> in order to ensure the person receives the warning letter</w:t>
      </w:r>
      <w:r w:rsidR="000536F4">
        <w:t>,</w:t>
      </w:r>
      <w:r>
        <w:t xml:space="preserve"> personal service will be appropriate. </w:t>
      </w:r>
    </w:p>
    <w:p w14:paraId="1A817A21" w14:textId="6FC67B22" w:rsidR="003032EC" w:rsidRPr="009D42DC" w:rsidRDefault="003032EC" w:rsidP="003032EC">
      <w:pPr>
        <w:pStyle w:val="Heading2"/>
      </w:pPr>
      <w:bookmarkStart w:id="11" w:name="_Toc105574980"/>
      <w:r w:rsidRPr="0079209B">
        <w:t>Copy of warning letter t</w:t>
      </w:r>
      <w:r w:rsidRPr="003032EC">
        <w:t>o referring agency</w:t>
      </w:r>
      <w:bookmarkEnd w:id="11"/>
    </w:p>
    <w:p w14:paraId="0AD13946" w14:textId="73CB42AC" w:rsidR="005B43AE" w:rsidRDefault="003032EC" w:rsidP="00D4348E">
      <w:pPr>
        <w:pStyle w:val="NumberedList1"/>
        <w:ind w:hanging="426"/>
      </w:pPr>
      <w:r>
        <w:t xml:space="preserve">Where </w:t>
      </w:r>
      <w:r w:rsidR="00C57C4A">
        <w:t xml:space="preserve">a prosecutor </w:t>
      </w:r>
      <w:proofErr w:type="gramStart"/>
      <w:r>
        <w:t>makes a decision</w:t>
      </w:r>
      <w:proofErr w:type="gramEnd"/>
      <w:r>
        <w:t xml:space="preserve"> not to prosecute on public interest grounds and decides to send a warning letter, </w:t>
      </w:r>
      <w:r w:rsidR="001D2EB8">
        <w:t xml:space="preserve">the CDPP must send </w:t>
      </w:r>
      <w:r>
        <w:t>a copy of the warning letter to the referring agency.</w:t>
      </w:r>
      <w:r w:rsidR="005B43AE">
        <w:t xml:space="preserve"> </w:t>
      </w:r>
    </w:p>
    <w:p w14:paraId="14315EB5" w14:textId="77777777" w:rsidR="001D2EB8" w:rsidRDefault="001D2EB8" w:rsidP="00C03825">
      <w:pPr>
        <w:pStyle w:val="NumberedList1"/>
        <w:numPr>
          <w:ilvl w:val="0"/>
          <w:numId w:val="0"/>
        </w:numPr>
        <w:ind w:left="340"/>
      </w:pPr>
    </w:p>
    <w:p w14:paraId="01F737F9" w14:textId="10F2203B" w:rsidR="001D2EB8" w:rsidRDefault="001D2EB8" w:rsidP="001D2EB8">
      <w:pPr>
        <w:pStyle w:val="Heading3"/>
        <w:rPr>
          <w:color w:val="0084A5" w:themeColor="accent6" w:themeShade="BF"/>
          <w:sz w:val="28"/>
          <w:szCs w:val="28"/>
        </w:rPr>
      </w:pPr>
      <w:bookmarkStart w:id="12" w:name="_Toc105574981"/>
      <w:r>
        <w:rPr>
          <w:color w:val="0084A5" w:themeColor="accent6" w:themeShade="BF"/>
          <w:sz w:val="28"/>
          <w:szCs w:val="28"/>
        </w:rPr>
        <w:t>Warning letters sent by referring agency</w:t>
      </w:r>
      <w:bookmarkEnd w:id="12"/>
    </w:p>
    <w:p w14:paraId="4F4CBE38" w14:textId="10DB0D96" w:rsidR="006D3697" w:rsidRDefault="003032EC" w:rsidP="00D4348E">
      <w:pPr>
        <w:pStyle w:val="NumberedList1"/>
        <w:ind w:hanging="426"/>
      </w:pPr>
      <w:r>
        <w:t>The CDPP recognises that rather than refer a brief of evidence</w:t>
      </w:r>
      <w:r w:rsidR="00C57C4A">
        <w:t xml:space="preserve"> to the CDPP</w:t>
      </w:r>
      <w:r>
        <w:t xml:space="preserve"> for assessment </w:t>
      </w:r>
      <w:r w:rsidR="00C57C4A">
        <w:t xml:space="preserve">of </w:t>
      </w:r>
      <w:r>
        <w:t>possible prosecution</w:t>
      </w:r>
      <w:r w:rsidR="00C57C4A">
        <w:t xml:space="preserve"> action</w:t>
      </w:r>
      <w:r>
        <w:t xml:space="preserve">, referring agencies may </w:t>
      </w:r>
      <w:r w:rsidR="00E318AE">
        <w:t xml:space="preserve">themselves </w:t>
      </w:r>
      <w:r w:rsidR="00C57C4A">
        <w:t xml:space="preserve">decide to </w:t>
      </w:r>
      <w:r>
        <w:t xml:space="preserve">send </w:t>
      </w:r>
      <w:r w:rsidR="00C57C4A">
        <w:t xml:space="preserve">a </w:t>
      </w:r>
      <w:r>
        <w:t xml:space="preserve">warning letter in accordance with </w:t>
      </w:r>
      <w:r w:rsidR="001D2EB8">
        <w:t>that agency’s</w:t>
      </w:r>
      <w:r>
        <w:t xml:space="preserve"> </w:t>
      </w:r>
      <w:r w:rsidR="00C57C4A">
        <w:t xml:space="preserve">internal </w:t>
      </w:r>
      <w:r>
        <w:t>policies.</w:t>
      </w:r>
      <w:r w:rsidR="00C57C4A">
        <w:t xml:space="preserve">  The use of warning letters by a referring agency is a matter for that agency.</w:t>
      </w:r>
    </w:p>
    <w:p w14:paraId="47EB00B6" w14:textId="77777777" w:rsidR="006D3697" w:rsidRDefault="006D3697" w:rsidP="00D4348E">
      <w:pPr>
        <w:pStyle w:val="NumberedList1"/>
        <w:numPr>
          <w:ilvl w:val="0"/>
          <w:numId w:val="0"/>
        </w:numPr>
        <w:ind w:left="426"/>
      </w:pPr>
    </w:p>
    <w:p w14:paraId="7E45A02C" w14:textId="3EA4FD86" w:rsidR="003032EC" w:rsidRPr="00D4348E" w:rsidRDefault="003032EC" w:rsidP="00D4348E">
      <w:pPr>
        <w:pStyle w:val="NumberedList1"/>
        <w:numPr>
          <w:ilvl w:val="0"/>
          <w:numId w:val="0"/>
        </w:numPr>
        <w:rPr>
          <w:b/>
          <w:bCs/>
          <w:color w:val="0084A5" w:themeColor="accent6" w:themeShade="BF"/>
          <w:sz w:val="28"/>
          <w:szCs w:val="28"/>
        </w:rPr>
      </w:pPr>
      <w:r w:rsidRPr="00D4348E">
        <w:rPr>
          <w:b/>
          <w:bCs/>
          <w:color w:val="0084A5" w:themeColor="accent6" w:themeShade="BF"/>
          <w:sz w:val="28"/>
          <w:szCs w:val="28"/>
        </w:rPr>
        <w:t xml:space="preserve">Prosecuting in a subsequent </w:t>
      </w:r>
      <w:r w:rsidR="006D3697" w:rsidRPr="00D4348E">
        <w:rPr>
          <w:b/>
          <w:bCs/>
          <w:color w:val="0084A5" w:themeColor="accent6" w:themeShade="BF"/>
          <w:sz w:val="28"/>
          <w:szCs w:val="28"/>
        </w:rPr>
        <w:t>matter</w:t>
      </w:r>
      <w:r w:rsidRPr="00D4348E">
        <w:rPr>
          <w:b/>
          <w:bCs/>
          <w:color w:val="0084A5" w:themeColor="accent6" w:themeShade="BF"/>
          <w:sz w:val="28"/>
          <w:szCs w:val="28"/>
        </w:rPr>
        <w:t xml:space="preserve"> after a warning letter </w:t>
      </w:r>
    </w:p>
    <w:p w14:paraId="752686F4" w14:textId="562BF99A" w:rsidR="00BD337D" w:rsidRDefault="005B43AE" w:rsidP="00D4348E">
      <w:pPr>
        <w:pStyle w:val="NumberedList1"/>
        <w:ind w:hanging="426"/>
      </w:pPr>
      <w:r>
        <w:t xml:space="preserve">If the CDPP subsequently receives a </w:t>
      </w:r>
      <w:r w:rsidR="00243A01">
        <w:t>referral</w:t>
      </w:r>
      <w:r>
        <w:t xml:space="preserve"> against a person who has previously been sent a warning letter</w:t>
      </w:r>
      <w:r w:rsidR="00243A01">
        <w:t xml:space="preserve"> for earlier alleged conduct</w:t>
      </w:r>
      <w:r>
        <w:t xml:space="preserve">, </w:t>
      </w:r>
      <w:r w:rsidR="001147B0">
        <w:t xml:space="preserve">the fact that a warning letter was sent previously may be a relevant </w:t>
      </w:r>
      <w:r w:rsidR="006D3697">
        <w:t xml:space="preserve">consideration </w:t>
      </w:r>
      <w:r w:rsidR="003B4828">
        <w:t xml:space="preserve">in accordance with the </w:t>
      </w:r>
      <w:r w:rsidR="003B4828">
        <w:rPr>
          <w:i/>
          <w:iCs/>
        </w:rPr>
        <w:t xml:space="preserve">Prosecution Policy of the Commonwealth </w:t>
      </w:r>
      <w:r w:rsidR="000536F4">
        <w:t xml:space="preserve">in </w:t>
      </w:r>
      <w:r w:rsidR="006D3697">
        <w:t>assessing</w:t>
      </w:r>
      <w:r w:rsidR="001147B0">
        <w:t xml:space="preserve"> whether prosecution for the subsequent conduct is in the public interest.</w:t>
      </w:r>
      <w:r w:rsidR="006D3697" w:rsidRPr="00D4348E">
        <w:rPr>
          <w:rFonts w:cs="Arial"/>
        </w:rPr>
        <w:t xml:space="preserve"> </w:t>
      </w:r>
    </w:p>
    <w:p w14:paraId="38F599CB" w14:textId="77777777" w:rsidR="00D86648" w:rsidRDefault="00D86648" w:rsidP="00D4348E">
      <w:pPr>
        <w:pStyle w:val="NumberedList1"/>
        <w:numPr>
          <w:ilvl w:val="0"/>
          <w:numId w:val="0"/>
        </w:numPr>
        <w:ind w:left="426" w:hanging="284"/>
      </w:pPr>
    </w:p>
    <w:tbl>
      <w:tblPr>
        <w:tblW w:w="10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66"/>
        <w:gridCol w:w="2268"/>
        <w:gridCol w:w="5329"/>
      </w:tblGrid>
      <w:tr w:rsidR="007A3596" w14:paraId="0C6568F3" w14:textId="77777777" w:rsidTr="00764D2D">
        <w:trPr>
          <w:trHeight w:val="20"/>
        </w:trPr>
        <w:tc>
          <w:tcPr>
            <w:tcW w:w="11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bookmarkEnd w:id="9"/>
          <w:p w14:paraId="4A625112" w14:textId="77777777" w:rsidR="007A3596" w:rsidRPr="003F5E6C" w:rsidRDefault="007A3596" w:rsidP="007924FC">
            <w:pPr>
              <w:pStyle w:val="Tableheader"/>
            </w:pPr>
            <w:r w:rsidRPr="003F5E6C">
              <w:t>Version</w:t>
            </w:r>
          </w:p>
        </w:tc>
        <w:tc>
          <w:tcPr>
            <w:tcW w:w="186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CEFF0" w14:textId="77777777" w:rsidR="007A3596" w:rsidRPr="003F5E6C" w:rsidRDefault="007A3596" w:rsidP="007924FC">
            <w:pPr>
              <w:pStyle w:val="Tableheader"/>
            </w:pPr>
            <w:r w:rsidRPr="003F5E6C">
              <w:t>Date</w:t>
            </w:r>
          </w:p>
        </w:tc>
        <w:tc>
          <w:tcPr>
            <w:tcW w:w="226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035" w14:textId="77777777" w:rsidR="007A3596" w:rsidRPr="003F5E6C" w:rsidRDefault="007A3596" w:rsidP="007924FC">
            <w:pPr>
              <w:pStyle w:val="Tableheader"/>
            </w:pPr>
            <w:r w:rsidRPr="003F5E6C">
              <w:t>Author</w:t>
            </w:r>
          </w:p>
        </w:tc>
        <w:tc>
          <w:tcPr>
            <w:tcW w:w="532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7D8CF" w14:textId="77777777" w:rsidR="007A3596" w:rsidRPr="003F5E6C" w:rsidRDefault="007A3596" w:rsidP="007924FC">
            <w:pPr>
              <w:pStyle w:val="Tableheader"/>
            </w:pPr>
            <w:r w:rsidRPr="003F5E6C">
              <w:t>Description</w:t>
            </w:r>
          </w:p>
        </w:tc>
      </w:tr>
      <w:tr w:rsidR="007A3596" w14:paraId="537EED83" w14:textId="77777777" w:rsidTr="00764D2D">
        <w:tc>
          <w:tcPr>
            <w:tcW w:w="11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4FCD7" w14:textId="235D8619" w:rsidR="007A3596" w:rsidRPr="003F5E6C" w:rsidRDefault="00877E10" w:rsidP="00C17BFA">
            <w:pPr>
              <w:pStyle w:val="Tabletext"/>
              <w:rPr>
                <w:rFonts w:cs="Calibri"/>
                <w:lang w:val="en-US"/>
              </w:rPr>
            </w:pPr>
            <w:r w:rsidRPr="003F5E6C">
              <w:t>1</w:t>
            </w:r>
            <w:r w:rsidR="007A3596" w:rsidRPr="003F5E6C">
              <w:t>.1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4A85C" w14:textId="22E8AD13" w:rsidR="007A3596" w:rsidRPr="003F5E6C" w:rsidRDefault="00956FE3" w:rsidP="00C17BFA">
            <w:pPr>
              <w:pStyle w:val="Tabletext"/>
            </w:pPr>
            <w:r>
              <w:t>March</w:t>
            </w:r>
            <w:r w:rsidRPr="003F5E6C">
              <w:t xml:space="preserve"> </w:t>
            </w:r>
            <w:r w:rsidR="00877E10" w:rsidRPr="003F5E6C">
              <w:t>202</w:t>
            </w:r>
            <w:r w:rsidR="0013018A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AC9D" w14:textId="005C357E" w:rsidR="007A3596" w:rsidRPr="003F5E6C" w:rsidRDefault="0079209B" w:rsidP="00C17BFA">
            <w:pPr>
              <w:pStyle w:val="Tabletext"/>
            </w:pPr>
            <w:r>
              <w:t>Julia Lukas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9B8B0" w14:textId="3F7EE053" w:rsidR="007A3596" w:rsidRPr="003F5E6C" w:rsidRDefault="00877E10" w:rsidP="00C17BFA">
            <w:pPr>
              <w:pStyle w:val="Tabletext"/>
            </w:pPr>
            <w:r w:rsidRPr="003F5E6C">
              <w:t>Revision and conversion to National Legal Direction of old Guidelines and Directions Manual Chapter dated February 2014</w:t>
            </w:r>
          </w:p>
        </w:tc>
      </w:tr>
    </w:tbl>
    <w:p w14:paraId="765BFC77" w14:textId="60F0335C" w:rsidR="006B0B45" w:rsidRDefault="006B0B45" w:rsidP="0027067D">
      <w:pPr>
        <w:pStyle w:val="NumberedList1"/>
        <w:numPr>
          <w:ilvl w:val="0"/>
          <w:numId w:val="0"/>
        </w:numPr>
      </w:pPr>
    </w:p>
    <w:p w14:paraId="39DD8AF7" w14:textId="77777777" w:rsidR="00764D2D" w:rsidRPr="00FF05EB" w:rsidRDefault="00764D2D" w:rsidP="00764D2D">
      <w:pPr>
        <w:pStyle w:val="NumberedList3"/>
        <w:numPr>
          <w:ilvl w:val="0"/>
          <w:numId w:val="0"/>
        </w:numPr>
      </w:pPr>
    </w:p>
    <w:sectPr w:rsidR="00764D2D" w:rsidRPr="00FF05EB" w:rsidSect="00210E8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680" w:bottom="1134" w:left="680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91CA" w14:textId="77777777" w:rsidR="00025FDF" w:rsidRDefault="00025FDF" w:rsidP="005D0115">
      <w:pPr>
        <w:spacing w:before="0" w:after="0" w:line="240" w:lineRule="auto"/>
      </w:pPr>
      <w:r>
        <w:separator/>
      </w:r>
    </w:p>
  </w:endnote>
  <w:endnote w:type="continuationSeparator" w:id="0">
    <w:p w14:paraId="567AE857" w14:textId="77777777" w:rsidR="00025FDF" w:rsidRDefault="00025FDF" w:rsidP="005D0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5113" w14:textId="0B028A44" w:rsidR="005657BF" w:rsidRPr="007924FC" w:rsidRDefault="005657BF" w:rsidP="005657BF">
    <w:pPr>
      <w:pStyle w:val="Footer"/>
      <w:jc w:val="center"/>
      <w:rPr>
        <w:sz w:val="20"/>
        <w:szCs w:val="20"/>
      </w:rPr>
    </w:pPr>
  </w:p>
  <w:p w14:paraId="69F2E963" w14:textId="41C226EF" w:rsidR="002F6F80" w:rsidRPr="00764D2D" w:rsidRDefault="002F6F80" w:rsidP="005657BF">
    <w:pPr>
      <w:pStyle w:val="Footer"/>
      <w:tabs>
        <w:tab w:val="clear" w:pos="9026"/>
        <w:tab w:val="right" w:pos="9639"/>
      </w:tabs>
      <w:jc w:val="right"/>
      <w:rPr>
        <w:bCs/>
        <w:sz w:val="20"/>
        <w:szCs w:val="20"/>
      </w:rPr>
    </w:pPr>
    <w:r>
      <w:tab/>
    </w:r>
    <w:r w:rsidRPr="00764D2D">
      <w:rPr>
        <w:bCs/>
        <w:sz w:val="20"/>
        <w:szCs w:val="20"/>
      </w:rPr>
      <w:fldChar w:fldCharType="begin"/>
    </w:r>
    <w:r w:rsidRPr="00764D2D">
      <w:rPr>
        <w:bCs/>
        <w:sz w:val="20"/>
        <w:szCs w:val="20"/>
      </w:rPr>
      <w:instrText xml:space="preserve"> PAGE   \* MERGEFORMAT </w:instrText>
    </w:r>
    <w:r w:rsidRPr="00764D2D">
      <w:rPr>
        <w:bCs/>
        <w:sz w:val="20"/>
        <w:szCs w:val="20"/>
      </w:rPr>
      <w:fldChar w:fldCharType="separate"/>
    </w:r>
    <w:r w:rsidR="00085B68" w:rsidRPr="00764D2D">
      <w:rPr>
        <w:bCs/>
        <w:noProof/>
        <w:sz w:val="20"/>
        <w:szCs w:val="20"/>
      </w:rPr>
      <w:t>2</w:t>
    </w:r>
    <w:r w:rsidRPr="00764D2D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8714" w14:textId="57985BB1" w:rsidR="0091767A" w:rsidRPr="007924FC" w:rsidRDefault="0091767A" w:rsidP="0091767A">
    <w:pPr>
      <w:pStyle w:val="Footer"/>
      <w:jc w:val="center"/>
      <w:rPr>
        <w:sz w:val="20"/>
        <w:szCs w:val="20"/>
      </w:rPr>
    </w:pPr>
  </w:p>
  <w:p w14:paraId="7C887C40" w14:textId="6C91C3CE" w:rsidR="002F6F80" w:rsidRPr="00351DD0" w:rsidRDefault="00930C4F" w:rsidP="00930C4F">
    <w:pPr>
      <w:pStyle w:val="Footer"/>
      <w:tabs>
        <w:tab w:val="clear" w:pos="9026"/>
        <w:tab w:val="right" w:pos="9639"/>
      </w:tabs>
      <w:jc w:val="right"/>
      <w:rPr>
        <w:b/>
      </w:rPr>
    </w:pPr>
    <w:r w:rsidRPr="00764D2D">
      <w:rPr>
        <w:bCs/>
        <w:sz w:val="20"/>
        <w:szCs w:val="20"/>
      </w:rPr>
      <w:fldChar w:fldCharType="begin"/>
    </w:r>
    <w:r w:rsidRPr="00764D2D">
      <w:rPr>
        <w:bCs/>
        <w:sz w:val="20"/>
        <w:szCs w:val="20"/>
      </w:rPr>
      <w:instrText xml:space="preserve"> PAGE   \* MERGEFORMAT </w:instrText>
    </w:r>
    <w:r w:rsidRPr="00764D2D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2</w:t>
    </w:r>
    <w:r w:rsidRPr="00764D2D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9B96" w14:textId="77777777" w:rsidR="00025FDF" w:rsidRDefault="00025FDF" w:rsidP="005D0115">
      <w:pPr>
        <w:spacing w:before="0" w:after="0" w:line="240" w:lineRule="auto"/>
      </w:pPr>
      <w:r>
        <w:separator/>
      </w:r>
    </w:p>
  </w:footnote>
  <w:footnote w:type="continuationSeparator" w:id="0">
    <w:p w14:paraId="30B01B8A" w14:textId="77777777" w:rsidR="00025FDF" w:rsidRDefault="00025FDF" w:rsidP="005D0115">
      <w:pPr>
        <w:spacing w:before="0" w:after="0" w:line="240" w:lineRule="auto"/>
      </w:pPr>
      <w:r>
        <w:continuationSeparator/>
      </w:r>
    </w:p>
  </w:footnote>
  <w:footnote w:id="1">
    <w:p w14:paraId="5B7142E4" w14:textId="299F4DFF" w:rsidR="00734C14" w:rsidRDefault="00734C14">
      <w:pPr>
        <w:pStyle w:val="FootnoteText"/>
      </w:pPr>
      <w:r>
        <w:rPr>
          <w:rStyle w:val="FootnoteReference"/>
        </w:rPr>
        <w:footnoteRef/>
      </w:r>
      <w:r>
        <w:t xml:space="preserve"> This extends to breach matters where a warning letter in an appropriate case may be an effective means of achieving compliance with orders.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B7D7" w14:textId="6E26E8F0" w:rsidR="007924FC" w:rsidRPr="00D9791C" w:rsidRDefault="007924FC" w:rsidP="00CA1613">
    <w:pPr>
      <w:tabs>
        <w:tab w:val="center" w:pos="4253"/>
        <w:tab w:val="right" w:pos="9026"/>
      </w:tabs>
      <w:suppressAutoHyphens w:val="0"/>
      <w:spacing w:before="120" w:after="280" w:line="240" w:lineRule="auto"/>
      <w:jc w:val="both"/>
      <w:rPr>
        <w:rFonts w:eastAsia="Calibri" w:cs="Times New Roman"/>
        <w:b/>
        <w:bCs/>
        <w:color w:val="445669"/>
        <w:sz w:val="20"/>
        <w:szCs w:val="20"/>
      </w:rPr>
    </w:pPr>
    <w:r w:rsidRPr="007924FC">
      <w:rPr>
        <w:rFonts w:eastAsia="Calibri" w:cs="Times New Roman"/>
        <w:noProof/>
        <w:color w:val="445669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A46FCC" wp14:editId="7F61C3E4">
              <wp:simplePos x="0" y="0"/>
              <wp:positionH relativeFrom="margin">
                <wp:align>right</wp:align>
              </wp:positionH>
              <wp:positionV relativeFrom="paragraph">
                <wp:posOffset>309539</wp:posOffset>
              </wp:positionV>
              <wp:extent cx="667375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737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B2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F79BDC" id="Straight Connector 5" o:spid="_x0000_s1026" style="position:absolute;flip:x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74.3pt,24.35pt" to="999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" strokecolor="#00b2dd" strokeweight="1pt">
              <w10:wrap anchorx="margin"/>
            </v:line>
          </w:pict>
        </mc:Fallback>
      </mc:AlternateContent>
    </w:r>
    <w:r w:rsidR="0091767A">
      <w:rPr>
        <w:rFonts w:eastAsia="Calibri" w:cs="Times New Roman"/>
        <w:color w:val="445669"/>
        <w:sz w:val="20"/>
        <w:szCs w:val="20"/>
      </w:rPr>
      <w:t xml:space="preserve">  </w:t>
    </w:r>
    <w:r w:rsidR="0091767A" w:rsidRPr="0091767A">
      <w:rPr>
        <w:rFonts w:eastAsia="Calibri" w:cs="Times New Roman"/>
        <w:b/>
        <w:bCs/>
        <w:color w:val="445669"/>
        <w:sz w:val="20"/>
        <w:szCs w:val="20"/>
      </w:rPr>
      <w:t xml:space="preserve">Last update: </w:t>
    </w:r>
    <w:r w:rsidR="00D9791C">
      <w:rPr>
        <w:rFonts w:eastAsia="Calibri" w:cs="Times New Roman"/>
        <w:b/>
        <w:bCs/>
        <w:color w:val="445669"/>
        <w:sz w:val="20"/>
        <w:szCs w:val="20"/>
      </w:rPr>
      <w:t>March 2023</w:t>
    </w:r>
    <w:r w:rsidR="0091767A">
      <w:rPr>
        <w:rFonts w:eastAsia="Calibri" w:cs="Times New Roman"/>
        <w:color w:val="445669"/>
        <w:sz w:val="20"/>
        <w:szCs w:val="20"/>
      </w:rPr>
      <w:tab/>
      <w:t xml:space="preserve">                                 </w:t>
    </w:r>
    <w:r w:rsidR="0091767A">
      <w:rPr>
        <w:rFonts w:eastAsia="Calibri" w:cs="Times New Roman"/>
        <w:color w:val="445669"/>
        <w:sz w:val="20"/>
        <w:szCs w:val="20"/>
      </w:rPr>
      <w:tab/>
      <w:t xml:space="preserve">                    </w:t>
    </w:r>
    <w:r w:rsidR="0091767A" w:rsidRPr="0091767A">
      <w:rPr>
        <w:rFonts w:eastAsia="Calibri" w:cs="Times New Roman"/>
        <w:color w:val="0084A5" w:themeColor="accent6" w:themeShade="BF"/>
        <w:sz w:val="20"/>
        <w:szCs w:val="20"/>
      </w:rPr>
      <w:t xml:space="preserve">  </w:t>
    </w:r>
    <w:r w:rsidR="0091767A" w:rsidRPr="0091767A">
      <w:rPr>
        <w:rFonts w:eastAsia="Calibri" w:cs="Times New Roman"/>
        <w:sz w:val="20"/>
        <w:szCs w:val="20"/>
      </w:rPr>
      <w:t xml:space="preserve">National Legal Direction  |  </w:t>
    </w:r>
    <w:r w:rsidR="0079209B" w:rsidRPr="0079209B">
      <w:rPr>
        <w:rFonts w:eastAsia="Calibri" w:cs="Times New Roman"/>
        <w:sz w:val="20"/>
        <w:szCs w:val="20"/>
      </w:rPr>
      <w:t>Warning Letters</w:t>
    </w:r>
  </w:p>
  <w:p w14:paraId="739A1B6A" w14:textId="77777777" w:rsidR="002F6F80" w:rsidRPr="007924FC" w:rsidRDefault="002F6F80" w:rsidP="00792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1AA4" w14:textId="0DCC7022" w:rsidR="002F6F80" w:rsidRDefault="009D42DC" w:rsidP="005D0F9D">
    <w:pPr>
      <w:pStyle w:val="Header"/>
      <w:tabs>
        <w:tab w:val="clear" w:pos="4513"/>
        <w:tab w:val="clear" w:pos="9026"/>
        <w:tab w:val="left" w:pos="69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0BB1F76" wp14:editId="23009F43">
          <wp:simplePos x="0" y="0"/>
          <wp:positionH relativeFrom="page">
            <wp:posOffset>75063</wp:posOffset>
          </wp:positionH>
          <wp:positionV relativeFrom="page">
            <wp:posOffset>68239</wp:posOffset>
          </wp:positionV>
          <wp:extent cx="7410734" cy="1308832"/>
          <wp:effectExtent l="0" t="0" r="0" b="5715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91" cy="1321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D26"/>
    <w:multiLevelType w:val="multilevel"/>
    <w:tmpl w:val="5A1A2D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lowerRoman"/>
      <w:lvlText w:val="(%2)"/>
      <w:lvlJc w:val="right"/>
      <w:pPr>
        <w:ind w:left="851" w:hanging="284"/>
      </w:pPr>
      <w:rPr>
        <w:rFonts w:asciiTheme="minorHAnsi" w:eastAsia="Times New Roman" w:hAnsiTheme="minorHAnsi" w:cs="Times New Roman"/>
        <w:b/>
      </w:rPr>
    </w:lvl>
    <w:lvl w:ilvl="2">
      <w:start w:val="1"/>
      <w:numFmt w:val="decimal"/>
      <w:lvlText w:val="(%3)"/>
      <w:lvlJc w:val="left"/>
      <w:pPr>
        <w:ind w:left="1418" w:hanging="284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A2F6B80"/>
    <w:multiLevelType w:val="multilevel"/>
    <w:tmpl w:val="B6D6DC7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pStyle w:val="NumberedList2"/>
      <w:lvlText w:val="%2."/>
      <w:lvlJc w:val="left"/>
      <w:pPr>
        <w:ind w:left="851" w:hanging="284"/>
      </w:pPr>
      <w:rPr>
        <w:rFonts w:hint="default"/>
        <w:b/>
      </w:rPr>
    </w:lvl>
    <w:lvl w:ilvl="2">
      <w:start w:val="1"/>
      <w:numFmt w:val="decimal"/>
      <w:pStyle w:val="NumberedList3"/>
      <w:lvlText w:val="(%3)"/>
      <w:lvlJc w:val="left"/>
      <w:pPr>
        <w:ind w:left="1418" w:hanging="284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FB25AE6"/>
    <w:multiLevelType w:val="hybridMultilevel"/>
    <w:tmpl w:val="CD14F0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790"/>
    <w:multiLevelType w:val="hybridMultilevel"/>
    <w:tmpl w:val="67022C9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5960D5"/>
    <w:multiLevelType w:val="hybridMultilevel"/>
    <w:tmpl w:val="5352F3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5127"/>
    <w:multiLevelType w:val="hybridMultilevel"/>
    <w:tmpl w:val="253CEFE4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458032B"/>
    <w:multiLevelType w:val="hybridMultilevel"/>
    <w:tmpl w:val="50C611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4506"/>
    <w:multiLevelType w:val="multilevel"/>
    <w:tmpl w:val="B6D6DC76"/>
    <w:numStyleLink w:val="Numberedlist"/>
  </w:abstractNum>
  <w:abstractNum w:abstractNumId="8" w15:restartNumberingAfterBreak="0">
    <w:nsid w:val="25171B7A"/>
    <w:multiLevelType w:val="multilevel"/>
    <w:tmpl w:val="5E2AC4DA"/>
    <w:styleLink w:val="AlphaLists"/>
    <w:lvl w:ilvl="0">
      <w:start w:val="1"/>
      <w:numFmt w:val="upperLetter"/>
      <w:pStyle w:val="AlphaList1"/>
      <w:lvlText w:val="%1."/>
      <w:lvlJc w:val="left"/>
      <w:pPr>
        <w:ind w:left="5672" w:hanging="284"/>
      </w:pPr>
      <w:rPr>
        <w:rFonts w:hint="default"/>
        <w:b/>
      </w:rPr>
    </w:lvl>
    <w:lvl w:ilvl="1">
      <w:start w:val="1"/>
      <w:numFmt w:val="lowerLetter"/>
      <w:pStyle w:val="AlphaList2"/>
      <w:lvlText w:val="%2."/>
      <w:lvlJc w:val="left"/>
      <w:pPr>
        <w:ind w:left="851" w:hanging="284"/>
      </w:pPr>
      <w:rPr>
        <w:rFonts w:hint="default"/>
        <w:b/>
      </w:rPr>
    </w:lvl>
    <w:lvl w:ilvl="2">
      <w:start w:val="1"/>
      <w:numFmt w:val="lowerLetter"/>
      <w:pStyle w:val="AlphaList3"/>
      <w:lvlText w:val="(%3)"/>
      <w:lvlJc w:val="left"/>
      <w:pPr>
        <w:ind w:left="1418" w:hanging="284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F22693"/>
    <w:multiLevelType w:val="hybridMultilevel"/>
    <w:tmpl w:val="4392A41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9B159F"/>
    <w:multiLevelType w:val="multilevel"/>
    <w:tmpl w:val="A2A8B8E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308C1986"/>
    <w:multiLevelType w:val="hybridMultilevel"/>
    <w:tmpl w:val="B4F0D74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34A0"/>
    <w:multiLevelType w:val="multilevel"/>
    <w:tmpl w:val="C3587BC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50797BE4"/>
    <w:multiLevelType w:val="hybridMultilevel"/>
    <w:tmpl w:val="5B10DA60"/>
    <w:lvl w:ilvl="0" w:tplc="0C0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9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6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359" w:hanging="360"/>
      </w:pPr>
      <w:rPr>
        <w:rFonts w:ascii="Wingdings" w:hAnsi="Wingdings" w:hint="default"/>
      </w:rPr>
    </w:lvl>
  </w:abstractNum>
  <w:abstractNum w:abstractNumId="14" w15:restartNumberingAfterBreak="0">
    <w:nsid w:val="51224178"/>
    <w:multiLevelType w:val="hybridMultilevel"/>
    <w:tmpl w:val="EF3A285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C02DCF"/>
    <w:multiLevelType w:val="hybridMultilevel"/>
    <w:tmpl w:val="1A3E37CE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8D2261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95D7E15"/>
    <w:multiLevelType w:val="multilevel"/>
    <w:tmpl w:val="9830E3CE"/>
    <w:styleLink w:val="TableHeadingNumbers"/>
    <w:lvl w:ilvl="0">
      <w:start w:val="1"/>
      <w:numFmt w:val="decimal"/>
      <w:pStyle w:val="TableHeadings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BAF20CD"/>
    <w:multiLevelType w:val="hybridMultilevel"/>
    <w:tmpl w:val="16668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F649F"/>
    <w:multiLevelType w:val="multilevel"/>
    <w:tmpl w:val="938276F2"/>
    <w:styleLink w:val="FigureTitles"/>
    <w:lvl w:ilvl="0">
      <w:start w:val="1"/>
      <w:numFmt w:val="decimal"/>
      <w:pStyle w:val="FigureHeadings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6890222F"/>
    <w:multiLevelType w:val="hybridMultilevel"/>
    <w:tmpl w:val="2F2639FA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B753C32"/>
    <w:multiLevelType w:val="hybridMultilevel"/>
    <w:tmpl w:val="EEFA964E"/>
    <w:lvl w:ilvl="0" w:tplc="43F6C6FA">
      <w:start w:val="1"/>
      <w:numFmt w:val="decimal"/>
      <w:pStyle w:val="Heading2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305"/>
    <w:multiLevelType w:val="multilevel"/>
    <w:tmpl w:val="C3587BC8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B6B00DC"/>
    <w:multiLevelType w:val="hybridMultilevel"/>
    <w:tmpl w:val="28D6088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1CADA2">
      <w:numFmt w:val="bullet"/>
      <w:lvlText w:val="•"/>
      <w:lvlJc w:val="left"/>
      <w:pPr>
        <w:ind w:left="1460" w:hanging="38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D65"/>
    <w:multiLevelType w:val="multilevel"/>
    <w:tmpl w:val="D71CC9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851" w:hanging="284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1418" w:hanging="284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EA01C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938985">
    <w:abstractNumId w:val="1"/>
  </w:num>
  <w:num w:numId="2" w16cid:durableId="827130869">
    <w:abstractNumId w:val="6"/>
  </w:num>
  <w:num w:numId="3" w16cid:durableId="1511336983">
    <w:abstractNumId w:val="8"/>
  </w:num>
  <w:num w:numId="4" w16cid:durableId="2013406366">
    <w:abstractNumId w:val="22"/>
  </w:num>
  <w:num w:numId="5" w16cid:durableId="588007575">
    <w:abstractNumId w:val="19"/>
  </w:num>
  <w:num w:numId="6" w16cid:durableId="2058892295">
    <w:abstractNumId w:val="21"/>
  </w:num>
  <w:num w:numId="7" w16cid:durableId="1942954513">
    <w:abstractNumId w:val="10"/>
  </w:num>
  <w:num w:numId="8" w16cid:durableId="26610867">
    <w:abstractNumId w:val="1"/>
  </w:num>
  <w:num w:numId="9" w16cid:durableId="68382764">
    <w:abstractNumId w:val="17"/>
  </w:num>
  <w:num w:numId="10" w16cid:durableId="1721324051">
    <w:abstractNumId w:val="17"/>
  </w:num>
  <w:num w:numId="11" w16cid:durableId="891766027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426" w:hanging="284"/>
        </w:pPr>
        <w:rPr>
          <w:rFonts w:hint="default"/>
          <w:b w:val="0"/>
          <w:bCs/>
          <w:i w:val="0"/>
          <w:color w:val="404040" w:themeColor="text1" w:themeTint="BF"/>
        </w:rPr>
      </w:lvl>
    </w:lvlOverride>
  </w:num>
  <w:num w:numId="12" w16cid:durableId="1260913210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 w:val="0"/>
          <w:bCs/>
          <w:i w:val="0"/>
          <w:color w:val="404040" w:themeColor="text1" w:themeTint="BF"/>
        </w:rPr>
      </w:lvl>
    </w:lvlOverride>
  </w:num>
  <w:num w:numId="13" w16cid:durableId="2086997770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/>
          <w:i w:val="0"/>
          <w:color w:val="404040" w:themeColor="text1" w:themeTint="BF"/>
        </w:rPr>
      </w:lvl>
    </w:lvlOverride>
  </w:num>
  <w:num w:numId="14" w16cid:durableId="822962652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/>
          <w:i w:val="0"/>
          <w:color w:val="404040" w:themeColor="text1" w:themeTint="BF"/>
        </w:rPr>
      </w:lvl>
    </w:lvlOverride>
  </w:num>
  <w:num w:numId="15" w16cid:durableId="1786078519">
    <w:abstractNumId w:val="3"/>
  </w:num>
  <w:num w:numId="16" w16cid:durableId="2057467609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umberedList2"/>
        <w:lvlText w:val="%2."/>
        <w:lvlJc w:val="left"/>
        <w:pPr>
          <w:ind w:left="851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NumberedList3"/>
        <w:lvlText w:val="(%3)"/>
        <w:lvlJc w:val="left"/>
        <w:pPr>
          <w:ind w:left="1418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" w16cid:durableId="1477992480">
    <w:abstractNumId w:val="24"/>
  </w:num>
  <w:num w:numId="18" w16cid:durableId="890312663">
    <w:abstractNumId w:val="0"/>
  </w:num>
  <w:num w:numId="19" w16cid:durableId="1213620007">
    <w:abstractNumId w:val="13"/>
  </w:num>
  <w:num w:numId="20" w16cid:durableId="1774780675">
    <w:abstractNumId w:val="9"/>
  </w:num>
  <w:num w:numId="21" w16cid:durableId="1791777254">
    <w:abstractNumId w:val="7"/>
  </w:num>
  <w:num w:numId="22" w16cid:durableId="260647034">
    <w:abstractNumId w:val="12"/>
  </w:num>
  <w:num w:numId="23" w16cid:durableId="1081491436">
    <w:abstractNumId w:val="16"/>
  </w:num>
  <w:num w:numId="24" w16cid:durableId="2081054209">
    <w:abstractNumId w:val="18"/>
  </w:num>
  <w:num w:numId="25" w16cid:durableId="685326884">
    <w:abstractNumId w:val="5"/>
  </w:num>
  <w:num w:numId="26" w16cid:durableId="964698648">
    <w:abstractNumId w:val="14"/>
  </w:num>
  <w:num w:numId="27" w16cid:durableId="307057969">
    <w:abstractNumId w:val="23"/>
  </w:num>
  <w:num w:numId="28" w16cid:durableId="2082406730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426" w:hanging="284"/>
        </w:pPr>
        <w:rPr>
          <w:rFonts w:hint="default"/>
          <w:b/>
          <w:i w:val="0"/>
          <w:color w:val="404040" w:themeColor="text1" w:themeTint="BF"/>
        </w:rPr>
      </w:lvl>
    </w:lvlOverride>
  </w:num>
  <w:num w:numId="29" w16cid:durableId="243688344">
    <w:abstractNumId w:val="20"/>
  </w:num>
  <w:num w:numId="30" w16cid:durableId="1604534598">
    <w:abstractNumId w:val="4"/>
  </w:num>
  <w:num w:numId="31" w16cid:durableId="1473208448">
    <w:abstractNumId w:val="15"/>
  </w:num>
  <w:num w:numId="32" w16cid:durableId="1651977262">
    <w:abstractNumId w:val="2"/>
  </w:num>
  <w:num w:numId="33" w16cid:durableId="715467652">
    <w:abstractNumId w:val="11"/>
  </w:num>
  <w:num w:numId="34" w16cid:durableId="425660520">
    <w:abstractNumId w:val="7"/>
    <w:lvlOverride w:ilvl="0">
      <w:lvl w:ilvl="0">
        <w:start w:val="1"/>
        <w:numFmt w:val="decimal"/>
        <w:pStyle w:val="NumberedList1"/>
        <w:lvlText w:val="%1."/>
        <w:lvlJc w:val="left"/>
        <w:pPr>
          <w:ind w:left="426" w:hanging="284"/>
        </w:pPr>
        <w:rPr>
          <w:rFonts w:hint="default"/>
          <w:b w:val="0"/>
          <w:bCs/>
          <w:i w:val="0"/>
          <w:color w:val="404040" w:themeColor="text1" w:themeTint="BF"/>
        </w:rPr>
      </w:lvl>
    </w:lvlOverride>
  </w:num>
  <w:num w:numId="35" w16cid:durableId="165348192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C"/>
    <w:rsid w:val="0000096C"/>
    <w:rsid w:val="000107F6"/>
    <w:rsid w:val="00011C6D"/>
    <w:rsid w:val="00025FDF"/>
    <w:rsid w:val="0002782F"/>
    <w:rsid w:val="00033CA6"/>
    <w:rsid w:val="00042B4E"/>
    <w:rsid w:val="00043609"/>
    <w:rsid w:val="00044057"/>
    <w:rsid w:val="0004633B"/>
    <w:rsid w:val="000528CD"/>
    <w:rsid w:val="000536F4"/>
    <w:rsid w:val="00053F95"/>
    <w:rsid w:val="000573F6"/>
    <w:rsid w:val="00060073"/>
    <w:rsid w:val="000609FB"/>
    <w:rsid w:val="00075838"/>
    <w:rsid w:val="00075C63"/>
    <w:rsid w:val="000826C3"/>
    <w:rsid w:val="00085B68"/>
    <w:rsid w:val="000A3BA5"/>
    <w:rsid w:val="000A76B8"/>
    <w:rsid w:val="000B160E"/>
    <w:rsid w:val="000B1A56"/>
    <w:rsid w:val="000C309B"/>
    <w:rsid w:val="000D1254"/>
    <w:rsid w:val="000E6C20"/>
    <w:rsid w:val="00105B11"/>
    <w:rsid w:val="001147B0"/>
    <w:rsid w:val="001149C5"/>
    <w:rsid w:val="00116105"/>
    <w:rsid w:val="00123957"/>
    <w:rsid w:val="00124A4D"/>
    <w:rsid w:val="0013018A"/>
    <w:rsid w:val="00130677"/>
    <w:rsid w:val="001435D6"/>
    <w:rsid w:val="001541EA"/>
    <w:rsid w:val="00155FD5"/>
    <w:rsid w:val="00165A9C"/>
    <w:rsid w:val="0017425D"/>
    <w:rsid w:val="00186126"/>
    <w:rsid w:val="001961D0"/>
    <w:rsid w:val="001A05EA"/>
    <w:rsid w:val="001D2EB8"/>
    <w:rsid w:val="001E1DC0"/>
    <w:rsid w:val="00200794"/>
    <w:rsid w:val="00203164"/>
    <w:rsid w:val="00210E80"/>
    <w:rsid w:val="00215508"/>
    <w:rsid w:val="0021719F"/>
    <w:rsid w:val="002207B2"/>
    <w:rsid w:val="00223343"/>
    <w:rsid w:val="00242E75"/>
    <w:rsid w:val="00243A01"/>
    <w:rsid w:val="002509ED"/>
    <w:rsid w:val="00262B06"/>
    <w:rsid w:val="0027067D"/>
    <w:rsid w:val="002740B5"/>
    <w:rsid w:val="00276C03"/>
    <w:rsid w:val="002838AA"/>
    <w:rsid w:val="0028602A"/>
    <w:rsid w:val="00287DE6"/>
    <w:rsid w:val="002915DA"/>
    <w:rsid w:val="002A1E4C"/>
    <w:rsid w:val="002A61DE"/>
    <w:rsid w:val="002D092B"/>
    <w:rsid w:val="002E2843"/>
    <w:rsid w:val="002E4493"/>
    <w:rsid w:val="002F13C8"/>
    <w:rsid w:val="002F4B2F"/>
    <w:rsid w:val="002F6F80"/>
    <w:rsid w:val="002F71AA"/>
    <w:rsid w:val="00301AF0"/>
    <w:rsid w:val="00302714"/>
    <w:rsid w:val="003032EC"/>
    <w:rsid w:val="003148B7"/>
    <w:rsid w:val="003158C3"/>
    <w:rsid w:val="00321699"/>
    <w:rsid w:val="00322629"/>
    <w:rsid w:val="00322E70"/>
    <w:rsid w:val="003252D3"/>
    <w:rsid w:val="003274CD"/>
    <w:rsid w:val="00335D72"/>
    <w:rsid w:val="00347DB5"/>
    <w:rsid w:val="0035119D"/>
    <w:rsid w:val="00351DD0"/>
    <w:rsid w:val="003538DD"/>
    <w:rsid w:val="00361743"/>
    <w:rsid w:val="00372DCB"/>
    <w:rsid w:val="00390BD2"/>
    <w:rsid w:val="0039111D"/>
    <w:rsid w:val="003A2D8E"/>
    <w:rsid w:val="003A70E5"/>
    <w:rsid w:val="003B0BD3"/>
    <w:rsid w:val="003B4828"/>
    <w:rsid w:val="003B4F12"/>
    <w:rsid w:val="003C46E6"/>
    <w:rsid w:val="003E120B"/>
    <w:rsid w:val="003F5E6C"/>
    <w:rsid w:val="00400033"/>
    <w:rsid w:val="00401D00"/>
    <w:rsid w:val="00407928"/>
    <w:rsid w:val="004224AF"/>
    <w:rsid w:val="00423F31"/>
    <w:rsid w:val="004345FB"/>
    <w:rsid w:val="00434A6B"/>
    <w:rsid w:val="00437D3C"/>
    <w:rsid w:val="0044363D"/>
    <w:rsid w:val="00446FFB"/>
    <w:rsid w:val="00481E42"/>
    <w:rsid w:val="00487312"/>
    <w:rsid w:val="004A3A10"/>
    <w:rsid w:val="004A6774"/>
    <w:rsid w:val="004B3775"/>
    <w:rsid w:val="004B566A"/>
    <w:rsid w:val="004C0CBC"/>
    <w:rsid w:val="004C6049"/>
    <w:rsid w:val="004C610A"/>
    <w:rsid w:val="004D7BD9"/>
    <w:rsid w:val="004E058F"/>
    <w:rsid w:val="004E1117"/>
    <w:rsid w:val="004E3B87"/>
    <w:rsid w:val="004F0C2E"/>
    <w:rsid w:val="004F2428"/>
    <w:rsid w:val="00510921"/>
    <w:rsid w:val="0051324F"/>
    <w:rsid w:val="00513348"/>
    <w:rsid w:val="00513F23"/>
    <w:rsid w:val="00522AE0"/>
    <w:rsid w:val="00523F80"/>
    <w:rsid w:val="00526A24"/>
    <w:rsid w:val="00526ECA"/>
    <w:rsid w:val="00527F6F"/>
    <w:rsid w:val="00530C51"/>
    <w:rsid w:val="00532CE7"/>
    <w:rsid w:val="00533B5D"/>
    <w:rsid w:val="00535596"/>
    <w:rsid w:val="00536A47"/>
    <w:rsid w:val="00545864"/>
    <w:rsid w:val="00553B85"/>
    <w:rsid w:val="00561896"/>
    <w:rsid w:val="00563801"/>
    <w:rsid w:val="005647BE"/>
    <w:rsid w:val="005657BF"/>
    <w:rsid w:val="00572355"/>
    <w:rsid w:val="00574290"/>
    <w:rsid w:val="00580CFD"/>
    <w:rsid w:val="0058118D"/>
    <w:rsid w:val="00594BD8"/>
    <w:rsid w:val="00594E2A"/>
    <w:rsid w:val="0059595A"/>
    <w:rsid w:val="005A58D4"/>
    <w:rsid w:val="005B20BC"/>
    <w:rsid w:val="005B43AE"/>
    <w:rsid w:val="005D0115"/>
    <w:rsid w:val="005D0F9D"/>
    <w:rsid w:val="005F07DF"/>
    <w:rsid w:val="005F4AF9"/>
    <w:rsid w:val="00604513"/>
    <w:rsid w:val="00612D87"/>
    <w:rsid w:val="00623BA1"/>
    <w:rsid w:val="00625346"/>
    <w:rsid w:val="006346BC"/>
    <w:rsid w:val="0063604C"/>
    <w:rsid w:val="0065737E"/>
    <w:rsid w:val="0066652A"/>
    <w:rsid w:val="00671C0B"/>
    <w:rsid w:val="00673DB2"/>
    <w:rsid w:val="00682167"/>
    <w:rsid w:val="00687F05"/>
    <w:rsid w:val="006A30D0"/>
    <w:rsid w:val="006A5F70"/>
    <w:rsid w:val="006B0B45"/>
    <w:rsid w:val="006C2CA5"/>
    <w:rsid w:val="006C42AF"/>
    <w:rsid w:val="006D24E7"/>
    <w:rsid w:val="006D3697"/>
    <w:rsid w:val="006E4B11"/>
    <w:rsid w:val="00706E41"/>
    <w:rsid w:val="00707C17"/>
    <w:rsid w:val="00711D8E"/>
    <w:rsid w:val="00712672"/>
    <w:rsid w:val="007210EA"/>
    <w:rsid w:val="007254B9"/>
    <w:rsid w:val="00734C14"/>
    <w:rsid w:val="00734E3F"/>
    <w:rsid w:val="00735D08"/>
    <w:rsid w:val="00736985"/>
    <w:rsid w:val="0074735F"/>
    <w:rsid w:val="00756360"/>
    <w:rsid w:val="0075735C"/>
    <w:rsid w:val="00760DBD"/>
    <w:rsid w:val="00764D2D"/>
    <w:rsid w:val="00771042"/>
    <w:rsid w:val="00783C49"/>
    <w:rsid w:val="0079209B"/>
    <w:rsid w:val="007924FC"/>
    <w:rsid w:val="00795110"/>
    <w:rsid w:val="007A2B67"/>
    <w:rsid w:val="007A2F79"/>
    <w:rsid w:val="007A3596"/>
    <w:rsid w:val="007A36FD"/>
    <w:rsid w:val="007A3F78"/>
    <w:rsid w:val="007B6200"/>
    <w:rsid w:val="007C0555"/>
    <w:rsid w:val="007C3A4C"/>
    <w:rsid w:val="007C4BE2"/>
    <w:rsid w:val="007D5C97"/>
    <w:rsid w:val="007D698D"/>
    <w:rsid w:val="007F164C"/>
    <w:rsid w:val="007F432D"/>
    <w:rsid w:val="00800980"/>
    <w:rsid w:val="00801B9F"/>
    <w:rsid w:val="0080394C"/>
    <w:rsid w:val="00807F56"/>
    <w:rsid w:val="00812F49"/>
    <w:rsid w:val="00832F32"/>
    <w:rsid w:val="00834BD2"/>
    <w:rsid w:val="00835D00"/>
    <w:rsid w:val="00844B07"/>
    <w:rsid w:val="00853EDC"/>
    <w:rsid w:val="00857FA9"/>
    <w:rsid w:val="00877E10"/>
    <w:rsid w:val="008A39F6"/>
    <w:rsid w:val="008A3B6E"/>
    <w:rsid w:val="008B0342"/>
    <w:rsid w:val="008B188D"/>
    <w:rsid w:val="008B4DA3"/>
    <w:rsid w:val="008C31D7"/>
    <w:rsid w:val="008D6329"/>
    <w:rsid w:val="008F5C69"/>
    <w:rsid w:val="009024DC"/>
    <w:rsid w:val="009133C4"/>
    <w:rsid w:val="0091701E"/>
    <w:rsid w:val="0091767A"/>
    <w:rsid w:val="00921BC2"/>
    <w:rsid w:val="00930C4F"/>
    <w:rsid w:val="009334C7"/>
    <w:rsid w:val="00933909"/>
    <w:rsid w:val="00956FE3"/>
    <w:rsid w:val="009637E9"/>
    <w:rsid w:val="009732A5"/>
    <w:rsid w:val="00977894"/>
    <w:rsid w:val="00981492"/>
    <w:rsid w:val="009841FE"/>
    <w:rsid w:val="009959C5"/>
    <w:rsid w:val="009B0A47"/>
    <w:rsid w:val="009B4D3B"/>
    <w:rsid w:val="009C1A86"/>
    <w:rsid w:val="009D42DC"/>
    <w:rsid w:val="009D7407"/>
    <w:rsid w:val="009E0866"/>
    <w:rsid w:val="009E2AAC"/>
    <w:rsid w:val="009E687F"/>
    <w:rsid w:val="009F2EA9"/>
    <w:rsid w:val="00A0182A"/>
    <w:rsid w:val="00A2040E"/>
    <w:rsid w:val="00A23825"/>
    <w:rsid w:val="00A24A62"/>
    <w:rsid w:val="00A31C9F"/>
    <w:rsid w:val="00A677A2"/>
    <w:rsid w:val="00A7083E"/>
    <w:rsid w:val="00A70C4E"/>
    <w:rsid w:val="00A95F4B"/>
    <w:rsid w:val="00A972CF"/>
    <w:rsid w:val="00AB3456"/>
    <w:rsid w:val="00AB43E6"/>
    <w:rsid w:val="00AC164A"/>
    <w:rsid w:val="00AC42F9"/>
    <w:rsid w:val="00AE2B53"/>
    <w:rsid w:val="00AF1646"/>
    <w:rsid w:val="00AF58FD"/>
    <w:rsid w:val="00B14BBC"/>
    <w:rsid w:val="00B16ED6"/>
    <w:rsid w:val="00B32568"/>
    <w:rsid w:val="00B43404"/>
    <w:rsid w:val="00B45102"/>
    <w:rsid w:val="00B5327E"/>
    <w:rsid w:val="00B5791F"/>
    <w:rsid w:val="00B65E9C"/>
    <w:rsid w:val="00B72381"/>
    <w:rsid w:val="00B83B4C"/>
    <w:rsid w:val="00B83C6A"/>
    <w:rsid w:val="00BB26C5"/>
    <w:rsid w:val="00BB73BA"/>
    <w:rsid w:val="00BC0F65"/>
    <w:rsid w:val="00BD337D"/>
    <w:rsid w:val="00BF0B6D"/>
    <w:rsid w:val="00BF25D3"/>
    <w:rsid w:val="00BF4DE6"/>
    <w:rsid w:val="00C03825"/>
    <w:rsid w:val="00C157B6"/>
    <w:rsid w:val="00C17BFA"/>
    <w:rsid w:val="00C25393"/>
    <w:rsid w:val="00C326A2"/>
    <w:rsid w:val="00C3532D"/>
    <w:rsid w:val="00C42CDE"/>
    <w:rsid w:val="00C53446"/>
    <w:rsid w:val="00C56DAA"/>
    <w:rsid w:val="00C57C4A"/>
    <w:rsid w:val="00C60275"/>
    <w:rsid w:val="00C750D0"/>
    <w:rsid w:val="00C82788"/>
    <w:rsid w:val="00C9673A"/>
    <w:rsid w:val="00CA1613"/>
    <w:rsid w:val="00CA37B1"/>
    <w:rsid w:val="00CB1959"/>
    <w:rsid w:val="00CB757F"/>
    <w:rsid w:val="00CE07AD"/>
    <w:rsid w:val="00CE09CB"/>
    <w:rsid w:val="00CE2E1E"/>
    <w:rsid w:val="00CE5AB2"/>
    <w:rsid w:val="00CE7493"/>
    <w:rsid w:val="00D020C4"/>
    <w:rsid w:val="00D0296C"/>
    <w:rsid w:val="00D12B54"/>
    <w:rsid w:val="00D235FC"/>
    <w:rsid w:val="00D24F2B"/>
    <w:rsid w:val="00D4348E"/>
    <w:rsid w:val="00D51A5C"/>
    <w:rsid w:val="00D51BCE"/>
    <w:rsid w:val="00D6175D"/>
    <w:rsid w:val="00D647F4"/>
    <w:rsid w:val="00D6690A"/>
    <w:rsid w:val="00D72444"/>
    <w:rsid w:val="00D757A4"/>
    <w:rsid w:val="00D80868"/>
    <w:rsid w:val="00D84F0E"/>
    <w:rsid w:val="00D86648"/>
    <w:rsid w:val="00D9791C"/>
    <w:rsid w:val="00DB0BC2"/>
    <w:rsid w:val="00DB5FB5"/>
    <w:rsid w:val="00DB63E9"/>
    <w:rsid w:val="00DC18CC"/>
    <w:rsid w:val="00DC218D"/>
    <w:rsid w:val="00DC489A"/>
    <w:rsid w:val="00DE1AB5"/>
    <w:rsid w:val="00DE34AB"/>
    <w:rsid w:val="00E06E75"/>
    <w:rsid w:val="00E10C58"/>
    <w:rsid w:val="00E16527"/>
    <w:rsid w:val="00E1697C"/>
    <w:rsid w:val="00E24416"/>
    <w:rsid w:val="00E2509C"/>
    <w:rsid w:val="00E263CE"/>
    <w:rsid w:val="00E318AE"/>
    <w:rsid w:val="00E439E4"/>
    <w:rsid w:val="00E46AB1"/>
    <w:rsid w:val="00E53800"/>
    <w:rsid w:val="00E6081F"/>
    <w:rsid w:val="00E75CC0"/>
    <w:rsid w:val="00E76F8C"/>
    <w:rsid w:val="00E804C3"/>
    <w:rsid w:val="00E81459"/>
    <w:rsid w:val="00E84F00"/>
    <w:rsid w:val="00E85BAF"/>
    <w:rsid w:val="00EA04B2"/>
    <w:rsid w:val="00EA20F3"/>
    <w:rsid w:val="00EA66EA"/>
    <w:rsid w:val="00EC3AA4"/>
    <w:rsid w:val="00ED43D1"/>
    <w:rsid w:val="00ED5D08"/>
    <w:rsid w:val="00EF0E8F"/>
    <w:rsid w:val="00EF7628"/>
    <w:rsid w:val="00F012DC"/>
    <w:rsid w:val="00F04735"/>
    <w:rsid w:val="00F0636E"/>
    <w:rsid w:val="00F16E16"/>
    <w:rsid w:val="00F2684E"/>
    <w:rsid w:val="00F55D78"/>
    <w:rsid w:val="00F611AA"/>
    <w:rsid w:val="00F729EF"/>
    <w:rsid w:val="00F912BD"/>
    <w:rsid w:val="00F96BB9"/>
    <w:rsid w:val="00FA43E0"/>
    <w:rsid w:val="00FB41A9"/>
    <w:rsid w:val="00FC62E0"/>
    <w:rsid w:val="00FC794B"/>
    <w:rsid w:val="00FD3982"/>
    <w:rsid w:val="00FE6D51"/>
    <w:rsid w:val="00FF05EB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FF88C7F"/>
  <w15:docId w15:val="{92B9F19C-DAAB-461B-ABD6-B37C7E4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2D"/>
    <w:pPr>
      <w:suppressAutoHyphens/>
      <w:spacing w:before="100" w:after="100" w:line="260" w:lineRule="atLeast"/>
    </w:pPr>
    <w:rPr>
      <w:rFonts w:ascii="Calibri" w:hAnsi="Calibri"/>
      <w:color w:val="0E374B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3E0"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67D"/>
    <w:pPr>
      <w:keepLines/>
      <w:spacing w:before="400" w:after="240" w:line="240" w:lineRule="auto"/>
      <w:outlineLvl w:val="1"/>
    </w:pPr>
    <w:rPr>
      <w:rFonts w:eastAsiaTheme="majorEastAsia" w:cstheme="majorBidi"/>
      <w:b/>
      <w:bCs/>
      <w:color w:val="0084A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BFA"/>
    <w:pPr>
      <w:keepNext/>
      <w:keepLines/>
      <w:spacing w:line="280" w:lineRule="atLeast"/>
      <w:contextualSpacing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3E0"/>
    <w:pPr>
      <w:keepNext/>
      <w:keepLines/>
      <w:spacing w:before="180" w:after="0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3E0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  <w:color w:val="0A28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3E0"/>
    <w:rPr>
      <w:rFonts w:ascii="Calibri" w:eastAsiaTheme="majorEastAsia" w:hAnsi="Calibri" w:cstheme="majorBidi"/>
      <w:b/>
      <w:bCs/>
      <w:caps/>
      <w:color w:val="404040" w:themeColor="text1" w:themeTint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067D"/>
    <w:rPr>
      <w:rFonts w:ascii="Calibri" w:eastAsiaTheme="majorEastAsia" w:hAnsi="Calibri" w:cstheme="majorBidi"/>
      <w:b/>
      <w:bCs/>
      <w:color w:val="0084A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BFA"/>
    <w:rPr>
      <w:rFonts w:ascii="Calibri" w:eastAsiaTheme="majorEastAsia" w:hAnsi="Calibri" w:cstheme="majorBidi"/>
      <w:b/>
      <w:bCs/>
      <w:color w:val="0E374B" w:themeColor="accent1"/>
      <w:sz w:val="24"/>
      <w:szCs w:val="24"/>
    </w:rPr>
  </w:style>
  <w:style w:type="paragraph" w:customStyle="1" w:styleId="NormalIndented">
    <w:name w:val="Normal Indented"/>
    <w:basedOn w:val="Normal"/>
    <w:qFormat/>
    <w:rsid w:val="00FA43E0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C17BFA"/>
    <w:pPr>
      <w:spacing w:after="0" w:line="300" w:lineRule="atLeast"/>
      <w:ind w:right="284"/>
      <w:contextualSpacing/>
      <w:jc w:val="right"/>
    </w:pPr>
    <w:rPr>
      <w:rFonts w:eastAsiaTheme="majorEastAsia" w:cstheme="majorBidi"/>
      <w:b/>
      <w:color w:val="0084A5" w:themeColor="accent6" w:themeShade="BF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BFA"/>
    <w:rPr>
      <w:rFonts w:ascii="Calibri" w:eastAsiaTheme="majorEastAsia" w:hAnsi="Calibri" w:cstheme="majorBidi"/>
      <w:b/>
      <w:color w:val="0084A5" w:themeColor="accent6" w:themeShade="BF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CE7"/>
    <w:pPr>
      <w:numPr>
        <w:ilvl w:val="1"/>
      </w:numPr>
      <w:ind w:right="284"/>
      <w:contextualSpacing/>
    </w:pPr>
    <w:rPr>
      <w:rFonts w:ascii="Calibri Bold" w:eastAsiaTheme="majorEastAsia" w:hAnsi="Calibri Bold" w:cstheme="majorBidi"/>
      <w:b/>
      <w:bCs/>
      <w:color w:val="8D7252"/>
    </w:rPr>
  </w:style>
  <w:style w:type="character" w:customStyle="1" w:styleId="SubtitleChar">
    <w:name w:val="Subtitle Char"/>
    <w:basedOn w:val="DefaultParagraphFont"/>
    <w:link w:val="Subtitle"/>
    <w:uiPriority w:val="11"/>
    <w:rsid w:val="00532CE7"/>
    <w:rPr>
      <w:rFonts w:ascii="Calibri Bold" w:eastAsiaTheme="majorEastAsia" w:hAnsi="Calibri Bold" w:cstheme="majorBidi"/>
      <w:b/>
      <w:bCs/>
      <w:color w:val="8D7252"/>
    </w:rPr>
  </w:style>
  <w:style w:type="paragraph" w:customStyle="1" w:styleId="Bullet1">
    <w:name w:val="Bullet 1"/>
    <w:basedOn w:val="Normal"/>
    <w:qFormat/>
    <w:rsid w:val="00FA43E0"/>
    <w:pPr>
      <w:spacing w:before="0"/>
    </w:pPr>
  </w:style>
  <w:style w:type="paragraph" w:customStyle="1" w:styleId="Bullet2">
    <w:name w:val="Bullet 2"/>
    <w:basedOn w:val="Normal"/>
    <w:qFormat/>
    <w:rsid w:val="00FA43E0"/>
    <w:pPr>
      <w:spacing w:before="0"/>
    </w:pPr>
  </w:style>
  <w:style w:type="paragraph" w:customStyle="1" w:styleId="Bullet3">
    <w:name w:val="Bullet 3"/>
    <w:basedOn w:val="Normal"/>
    <w:qFormat/>
    <w:rsid w:val="00FA43E0"/>
    <w:pPr>
      <w:spacing w:before="0"/>
    </w:pPr>
  </w:style>
  <w:style w:type="paragraph" w:customStyle="1" w:styleId="NumberedList1">
    <w:name w:val="Numbered List 1"/>
    <w:basedOn w:val="Normal"/>
    <w:qFormat/>
    <w:rsid w:val="0027067D"/>
    <w:pPr>
      <w:numPr>
        <w:numId w:val="11"/>
      </w:numPr>
      <w:spacing w:before="0" w:line="240" w:lineRule="auto"/>
      <w:jc w:val="both"/>
    </w:pPr>
  </w:style>
  <w:style w:type="paragraph" w:customStyle="1" w:styleId="Heading10">
    <w:name w:val="Heading1"/>
    <w:basedOn w:val="Title"/>
    <w:qFormat/>
    <w:rsid w:val="00C17BFA"/>
  </w:style>
  <w:style w:type="paragraph" w:customStyle="1" w:styleId="NumberedList3">
    <w:name w:val="Numbered List 3"/>
    <w:basedOn w:val="Normal"/>
    <w:qFormat/>
    <w:rsid w:val="00FA43E0"/>
    <w:pPr>
      <w:numPr>
        <w:ilvl w:val="2"/>
        <w:numId w:val="11"/>
      </w:numPr>
      <w:spacing w:before="0"/>
    </w:pPr>
  </w:style>
  <w:style w:type="paragraph" w:customStyle="1" w:styleId="Heading1Numbered">
    <w:name w:val="Heading 1 Numbered"/>
    <w:basedOn w:val="Heading1"/>
    <w:next w:val="Normal"/>
    <w:qFormat/>
    <w:rsid w:val="00FA43E0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qFormat/>
    <w:rsid w:val="00FA43E0"/>
    <w:pPr>
      <w:numPr>
        <w:numId w:val="6"/>
      </w:numPr>
    </w:pPr>
  </w:style>
  <w:style w:type="paragraph" w:customStyle="1" w:styleId="Heading3Numbered">
    <w:name w:val="Heading 3 Numbered"/>
    <w:basedOn w:val="Heading3"/>
    <w:next w:val="Normal"/>
    <w:qFormat/>
    <w:rsid w:val="00FA43E0"/>
    <w:pPr>
      <w:numPr>
        <w:ilvl w:val="2"/>
        <w:numId w:val="7"/>
      </w:numPr>
    </w:pPr>
  </w:style>
  <w:style w:type="numbering" w:customStyle="1" w:styleId="BulletsList">
    <w:name w:val="Bullets List"/>
    <w:uiPriority w:val="99"/>
    <w:rsid w:val="00FA43E0"/>
    <w:pPr>
      <w:numPr>
        <w:numId w:val="4"/>
      </w:numPr>
    </w:pPr>
  </w:style>
  <w:style w:type="numbering" w:customStyle="1" w:styleId="Numberedlist">
    <w:name w:val="Numbered list"/>
    <w:uiPriority w:val="99"/>
    <w:rsid w:val="00FA43E0"/>
    <w:pPr>
      <w:numPr>
        <w:numId w:val="1"/>
      </w:numPr>
    </w:pPr>
  </w:style>
  <w:style w:type="numbering" w:customStyle="1" w:styleId="HeadingsList">
    <w:name w:val="Headings List"/>
    <w:uiPriority w:val="99"/>
    <w:rsid w:val="00FA43E0"/>
    <w:pPr>
      <w:numPr>
        <w:numId w:val="7"/>
      </w:numPr>
    </w:pPr>
  </w:style>
  <w:style w:type="table" w:customStyle="1" w:styleId="PlainTable21">
    <w:name w:val="Plain Table 21"/>
    <w:basedOn w:val="TableNormal"/>
    <w:uiPriority w:val="42"/>
    <w:rsid w:val="00FA43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Normal"/>
    <w:next w:val="Normal"/>
    <w:uiPriority w:val="39"/>
    <w:unhideWhenUsed/>
    <w:qFormat/>
    <w:rsid w:val="0027067D"/>
    <w:pPr>
      <w:suppressAutoHyphens w:val="0"/>
      <w:spacing w:before="360" w:after="360" w:line="240" w:lineRule="auto"/>
      <w:ind w:right="284"/>
    </w:pPr>
    <w:rPr>
      <w:rFonts w:asciiTheme="majorHAnsi" w:eastAsiaTheme="majorEastAsia" w:hAnsiTheme="majorHAnsi" w:cstheme="majorBidi"/>
      <w:b/>
      <w:bCs/>
      <w:kern w:val="28"/>
      <w:sz w:val="34"/>
      <w:szCs w:val="3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A43E0"/>
    <w:rPr>
      <w:rFonts w:ascii="Calibri" w:eastAsiaTheme="majorEastAsia" w:hAnsi="Calibri" w:cstheme="majorBidi"/>
      <w:b/>
      <w:i/>
      <w:iCs/>
      <w:color w:val="404040" w:themeColor="text1" w:themeTint="B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A43E0"/>
    <w:pPr>
      <w:tabs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A43E0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750D0"/>
    <w:pPr>
      <w:tabs>
        <w:tab w:val="right" w:leader="dot" w:pos="9628"/>
      </w:tabs>
      <w:ind w:left="720"/>
    </w:pPr>
  </w:style>
  <w:style w:type="paragraph" w:customStyle="1" w:styleId="TableHeadings">
    <w:name w:val="Table Headings"/>
    <w:basedOn w:val="Normal"/>
    <w:next w:val="Normal"/>
    <w:qFormat/>
    <w:rsid w:val="00FA43E0"/>
    <w:pPr>
      <w:numPr>
        <w:numId w:val="10"/>
      </w:numPr>
      <w:spacing w:before="240"/>
    </w:pPr>
    <w:rPr>
      <w:b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660"/>
    </w:pPr>
    <w:rPr>
      <w:rFonts w:asciiTheme="minorHAnsi" w:eastAsiaTheme="minorEastAsia" w:hAnsiTheme="minorHAns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1320"/>
    </w:pPr>
    <w:rPr>
      <w:rFonts w:asciiTheme="minorHAnsi" w:eastAsiaTheme="minorEastAsia" w:hAnsiTheme="minorHAnsi"/>
      <w:lang w:eastAsia="en-AU"/>
    </w:rPr>
  </w:style>
  <w:style w:type="numbering" w:customStyle="1" w:styleId="TableHeadingNumbers">
    <w:name w:val="Table Heading Numbers"/>
    <w:uiPriority w:val="99"/>
    <w:rsid w:val="00FA43E0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FA43E0"/>
    <w:pPr>
      <w:suppressAutoHyphens w:val="0"/>
      <w:spacing w:before="0" w:line="259" w:lineRule="auto"/>
      <w:ind w:left="1760"/>
    </w:pPr>
    <w:rPr>
      <w:rFonts w:asciiTheme="minorHAnsi" w:eastAsiaTheme="minorEastAsia" w:hAnsiTheme="minorHAnsi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FA43E0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FA43E0"/>
    <w:pPr>
      <w:spacing w:line="280" w:lineRule="atLeast"/>
    </w:pPr>
    <w:rPr>
      <w:sz w:val="24"/>
    </w:rPr>
  </w:style>
  <w:style w:type="table" w:styleId="TableGrid">
    <w:name w:val="Table Grid"/>
    <w:basedOn w:val="TableNormal"/>
    <w:uiPriority w:val="59"/>
    <w:rsid w:val="00FA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Headings">
    <w:name w:val="Figure Headings"/>
    <w:basedOn w:val="Normal"/>
    <w:next w:val="Normal"/>
    <w:qFormat/>
    <w:rsid w:val="00FA43E0"/>
    <w:pPr>
      <w:numPr>
        <w:numId w:val="5"/>
      </w:numPr>
      <w:spacing w:before="240"/>
    </w:pPr>
    <w:rPr>
      <w:b/>
      <w:sz w:val="24"/>
    </w:rPr>
  </w:style>
  <w:style w:type="numbering" w:customStyle="1" w:styleId="FigureTitles">
    <w:name w:val="Figure Titles"/>
    <w:uiPriority w:val="99"/>
    <w:rsid w:val="00FA43E0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A43E0"/>
    <w:rPr>
      <w:rFonts w:asciiTheme="minorHAnsi" w:hAnsiTheme="minorHAnsi" w:cs="MuseoSans-500"/>
      <w:color w:val="3333FF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A43E0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A43E0"/>
    <w:rPr>
      <w:b/>
      <w:bCs/>
    </w:rPr>
  </w:style>
  <w:style w:type="character" w:styleId="Emphasis">
    <w:name w:val="Emphasis"/>
    <w:basedOn w:val="DefaultParagraphFont"/>
    <w:uiPriority w:val="20"/>
    <w:qFormat/>
    <w:rsid w:val="00FA43E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3E0"/>
    <w:rPr>
      <w:rFonts w:asciiTheme="majorHAnsi" w:eastAsiaTheme="majorEastAsia" w:hAnsiTheme="majorHAnsi" w:cstheme="majorBidi"/>
      <w:i/>
      <w:color w:val="0A2837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A43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E0"/>
    <w:rPr>
      <w:rFonts w:ascii="Calibri" w:hAnsi="Calibri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FA43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E0"/>
    <w:rPr>
      <w:rFonts w:ascii="Calibri" w:hAnsi="Calibri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3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E0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AlphaList1">
    <w:name w:val="Alpha List 1"/>
    <w:basedOn w:val="Normal"/>
    <w:qFormat/>
    <w:rsid w:val="00764D2D"/>
    <w:pPr>
      <w:numPr>
        <w:numId w:val="3"/>
      </w:numPr>
      <w:ind w:left="284"/>
    </w:pPr>
    <w:rPr>
      <w:lang w:val="en-US"/>
    </w:rPr>
  </w:style>
  <w:style w:type="paragraph" w:customStyle="1" w:styleId="AlphaList2">
    <w:name w:val="Alpha List 2"/>
    <w:basedOn w:val="Normal"/>
    <w:qFormat/>
    <w:rsid w:val="00FA43E0"/>
    <w:pPr>
      <w:numPr>
        <w:ilvl w:val="1"/>
        <w:numId w:val="3"/>
      </w:numPr>
    </w:pPr>
    <w:rPr>
      <w:lang w:val="en-US"/>
    </w:rPr>
  </w:style>
  <w:style w:type="paragraph" w:customStyle="1" w:styleId="AlphaList3">
    <w:name w:val="Alpha List 3"/>
    <w:basedOn w:val="Normal"/>
    <w:qFormat/>
    <w:rsid w:val="00FA43E0"/>
    <w:pPr>
      <w:numPr>
        <w:ilvl w:val="2"/>
        <w:numId w:val="3"/>
      </w:numPr>
    </w:pPr>
    <w:rPr>
      <w:lang w:val="en-US"/>
    </w:rPr>
  </w:style>
  <w:style w:type="numbering" w:customStyle="1" w:styleId="AlphaLists">
    <w:name w:val="Alpha Lists"/>
    <w:uiPriority w:val="99"/>
    <w:rsid w:val="00FA43E0"/>
    <w:pPr>
      <w:numPr>
        <w:numId w:val="3"/>
      </w:numPr>
    </w:pPr>
  </w:style>
  <w:style w:type="character" w:customStyle="1" w:styleId="ColourGold">
    <w:name w:val="Colour: Gold"/>
    <w:basedOn w:val="DefaultParagraphFont"/>
    <w:uiPriority w:val="1"/>
    <w:qFormat/>
    <w:rsid w:val="00FA43E0"/>
    <w:rPr>
      <w:color w:val="947246"/>
      <w:lang w:val="en-US"/>
    </w:rPr>
  </w:style>
  <w:style w:type="paragraph" w:customStyle="1" w:styleId="DocumentGroup">
    <w:name w:val="Document Group"/>
    <w:basedOn w:val="Title"/>
    <w:qFormat/>
    <w:rsid w:val="00FA43E0"/>
    <w:pPr>
      <w:spacing w:before="0" w:after="1000" w:line="340" w:lineRule="atLeast"/>
    </w:pPr>
    <w:rPr>
      <w:color w:val="FFFFFF" w:themeColor="background1"/>
      <w:sz w:val="28"/>
      <w:lang w:val="en-US"/>
    </w:rPr>
  </w:style>
  <w:style w:type="paragraph" w:styleId="BodyText">
    <w:name w:val="Body Text"/>
    <w:aliases w:val="Body Text*"/>
    <w:basedOn w:val="Normal"/>
    <w:link w:val="BodyTextChar"/>
    <w:rsid w:val="00FA43E0"/>
    <w:pPr>
      <w:suppressAutoHyphens w:val="0"/>
      <w:spacing w:before="0" w:after="0" w:line="360" w:lineRule="auto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BodyTextChar">
    <w:name w:val="Body Text Char"/>
    <w:aliases w:val="Body Text* Char"/>
    <w:basedOn w:val="DefaultParagraphFont"/>
    <w:link w:val="BodyText"/>
    <w:rsid w:val="00FA43E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A43E0"/>
    <w:pPr>
      <w:suppressAutoHyphens w:val="0"/>
      <w:spacing w:before="0" w:after="0" w:line="240" w:lineRule="auto"/>
      <w:ind w:left="720"/>
      <w:contextualSpacing/>
    </w:pPr>
    <w:rPr>
      <w:rFonts w:ascii="Arial" w:eastAsia="Times New Roman" w:hAnsi="Arial" w:cs="Times New Roman"/>
      <w:color w:val="auto"/>
      <w:szCs w:val="20"/>
    </w:rPr>
  </w:style>
  <w:style w:type="paragraph" w:customStyle="1" w:styleId="Body">
    <w:name w:val="Body"/>
    <w:basedOn w:val="Normal"/>
    <w:rsid w:val="00522AE0"/>
    <w:pPr>
      <w:suppressAutoHyphens w:val="0"/>
      <w:spacing w:before="0" w:after="0" w:line="240" w:lineRule="auto"/>
      <w:jc w:val="both"/>
    </w:pPr>
    <w:rPr>
      <w:rFonts w:ascii="Arial" w:eastAsia="Times New Roman" w:hAnsi="Arial" w:cs="Times New Roman"/>
      <w:color w:val="auto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A43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43E0"/>
    <w:rPr>
      <w:rFonts w:ascii="Calibri" w:hAnsi="Calibri"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A43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3E0"/>
    <w:rPr>
      <w:rFonts w:ascii="Calibri" w:hAnsi="Calibri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3E0"/>
    <w:rPr>
      <w:rFonts w:ascii="Calibri" w:hAnsi="Calibri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DB63E9"/>
    <w:pPr>
      <w:spacing w:after="0" w:line="240" w:lineRule="auto"/>
    </w:pPr>
    <w:rPr>
      <w:rFonts w:ascii="Calibri" w:hAnsi="Calibri"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FA43E0"/>
    <w:pPr>
      <w:suppressAutoHyphens w:val="0"/>
      <w:spacing w:before="0" w:after="120" w:line="480" w:lineRule="auto"/>
    </w:pPr>
    <w:rPr>
      <w:rFonts w:ascii="Arial" w:eastAsia="Times New Roman" w:hAnsi="Arial" w:cs="Times New Roman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A43E0"/>
    <w:rPr>
      <w:rFonts w:ascii="Arial" w:eastAsia="Times New Roman" w:hAnsi="Arial" w:cs="Times New Roman"/>
      <w:szCs w:val="20"/>
    </w:rPr>
  </w:style>
  <w:style w:type="character" w:styleId="EndnoteReference">
    <w:name w:val="endnote reference"/>
    <w:uiPriority w:val="99"/>
    <w:semiHidden/>
    <w:unhideWhenUsed/>
    <w:rsid w:val="00FA43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3E0"/>
    <w:pPr>
      <w:suppressAutoHyphens w:val="0"/>
      <w:spacing w:before="0"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3E0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43E0"/>
    <w:rPr>
      <w:color w:val="F26524" w:themeColor="followedHyperlink"/>
      <w:u w:val="single"/>
    </w:rPr>
  </w:style>
  <w:style w:type="paragraph" w:styleId="NoSpacing">
    <w:name w:val="No Spacing"/>
    <w:uiPriority w:val="1"/>
    <w:qFormat/>
    <w:rsid w:val="00FA43E0"/>
    <w:pPr>
      <w:spacing w:after="0" w:line="240" w:lineRule="auto"/>
    </w:pPr>
    <w:rPr>
      <w:rFonts w:ascii="Arial" w:eastAsia="Calibri" w:hAnsi="Arial" w:cs="Arial"/>
    </w:rPr>
  </w:style>
  <w:style w:type="paragraph" w:customStyle="1" w:styleId="NumberedList2">
    <w:name w:val="Numbered List 2"/>
    <w:basedOn w:val="NumberedList1"/>
    <w:qFormat/>
    <w:rsid w:val="00FA43E0"/>
    <w:pPr>
      <w:numPr>
        <w:ilvl w:val="1"/>
      </w:numPr>
    </w:pPr>
  </w:style>
  <w:style w:type="table" w:customStyle="1" w:styleId="Report-Table1">
    <w:name w:val="Report-Table1"/>
    <w:basedOn w:val="TableNormal"/>
    <w:next w:val="TableGrid"/>
    <w:uiPriority w:val="59"/>
    <w:rsid w:val="00FA43E0"/>
    <w:pPr>
      <w:spacing w:after="0" w:line="240" w:lineRule="auto"/>
    </w:pPr>
    <w:rPr>
      <w:rFonts w:ascii="Calibri" w:eastAsia="Calibri" w:hAnsi="Calibri" w:cs="Times New Roman"/>
      <w:color w:val="404040"/>
    </w:rPr>
    <w:tblPr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Calibri" w:hAnsi="Calibri" w:hint="default"/>
        <w:sz w:val="22"/>
        <w:szCs w:val="22"/>
      </w:rPr>
      <w:tblPr/>
      <w:tcPr>
        <w:shd w:val="clear" w:color="auto" w:fill="D9D9D9"/>
      </w:tcPr>
    </w:tblStylePr>
  </w:style>
  <w:style w:type="paragraph" w:customStyle="1" w:styleId="Style1">
    <w:name w:val="Style1"/>
    <w:basedOn w:val="TOC1"/>
    <w:next w:val="TOC1"/>
    <w:link w:val="Style1Char"/>
    <w:qFormat/>
    <w:rsid w:val="00FA43E0"/>
    <w:pPr>
      <w:tabs>
        <w:tab w:val="left" w:pos="440"/>
        <w:tab w:val="left" w:pos="1305"/>
        <w:tab w:val="right" w:leader="dot" w:pos="9016"/>
      </w:tabs>
      <w:suppressAutoHyphens w:val="0"/>
      <w:spacing w:before="0" w:line="276" w:lineRule="auto"/>
    </w:pPr>
    <w:rPr>
      <w:rFonts w:ascii="Arial" w:eastAsia="Times New Roman" w:hAnsi="Arial" w:cs="Arial"/>
      <w:noProof/>
      <w:color w:val="000000"/>
      <w:lang w:val="en-US"/>
    </w:rPr>
  </w:style>
  <w:style w:type="character" w:customStyle="1" w:styleId="Style1Char">
    <w:name w:val="Style1 Char"/>
    <w:link w:val="Style1"/>
    <w:rsid w:val="00FA43E0"/>
    <w:rPr>
      <w:rFonts w:ascii="Arial" w:eastAsia="Times New Roman" w:hAnsi="Arial" w:cs="Arial"/>
      <w:noProof/>
      <w:color w:val="000000"/>
      <w:lang w:val="en-US"/>
    </w:rPr>
  </w:style>
  <w:style w:type="paragraph" w:customStyle="1" w:styleId="Default">
    <w:name w:val="Default"/>
    <w:rsid w:val="00AB4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LDTitle">
    <w:name w:val="NLD Title"/>
    <w:basedOn w:val="Normal"/>
    <w:link w:val="NLDTitleChar"/>
    <w:qFormat/>
    <w:rsid w:val="00210E80"/>
    <w:pPr>
      <w:spacing w:before="0" w:after="0" w:line="240" w:lineRule="auto"/>
    </w:pPr>
    <w:rPr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C17BFA"/>
    <w:pPr>
      <w:spacing w:before="0" w:after="0" w:line="240" w:lineRule="auto"/>
      <w:jc w:val="center"/>
    </w:pPr>
    <w:rPr>
      <w:sz w:val="20"/>
      <w:szCs w:val="20"/>
      <w:lang w:eastAsia="en-AU"/>
    </w:rPr>
  </w:style>
  <w:style w:type="character" w:customStyle="1" w:styleId="NLDTitleChar">
    <w:name w:val="NLD Title Char"/>
    <w:basedOn w:val="DefaultParagraphFont"/>
    <w:link w:val="NLDTitle"/>
    <w:rsid w:val="00210E80"/>
    <w:rPr>
      <w:rFonts w:ascii="Calibri" w:hAnsi="Calibri"/>
      <w:color w:val="0E374B" w:themeColor="accent1"/>
      <w:sz w:val="48"/>
      <w:szCs w:val="48"/>
    </w:rPr>
  </w:style>
  <w:style w:type="paragraph" w:customStyle="1" w:styleId="Tableheader">
    <w:name w:val="Table header"/>
    <w:basedOn w:val="Normal"/>
    <w:link w:val="TableheaderChar"/>
    <w:qFormat/>
    <w:rsid w:val="007924FC"/>
    <w:pPr>
      <w:spacing w:before="0" w:after="0" w:line="240" w:lineRule="auto"/>
      <w:jc w:val="center"/>
    </w:pPr>
    <w:rPr>
      <w:b/>
      <w:bCs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C17BFA"/>
    <w:rPr>
      <w:rFonts w:ascii="Calibri" w:hAnsi="Calibri"/>
      <w:color w:val="0E374B" w:themeColor="accent1"/>
      <w:sz w:val="20"/>
      <w:szCs w:val="20"/>
      <w:lang w:eastAsia="en-AU"/>
    </w:rPr>
  </w:style>
  <w:style w:type="character" w:customStyle="1" w:styleId="TableheaderChar">
    <w:name w:val="Table header Char"/>
    <w:basedOn w:val="DefaultParagraphFont"/>
    <w:link w:val="Tableheader"/>
    <w:rsid w:val="007924FC"/>
    <w:rPr>
      <w:rFonts w:ascii="Calibri" w:hAnsi="Calibri"/>
      <w:b/>
      <w:bCs/>
      <w:color w:val="0E374B" w:themeColor="accent1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3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dpp.gov.au/sites/default/files/Prosecution%20Policy%20of%20the%20Commonwealth%20as%20updated%2019%20July%2020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DPP">
      <a:dk1>
        <a:srgbClr val="010101"/>
      </a:dk1>
      <a:lt1>
        <a:srgbClr val="FFFFFF"/>
      </a:lt1>
      <a:dk2>
        <a:srgbClr val="445669"/>
      </a:dk2>
      <a:lt2>
        <a:srgbClr val="FFFFFF"/>
      </a:lt2>
      <a:accent1>
        <a:srgbClr val="0E374B"/>
      </a:accent1>
      <a:accent2>
        <a:srgbClr val="188A95"/>
      </a:accent2>
      <a:accent3>
        <a:srgbClr val="29C3CB"/>
      </a:accent3>
      <a:accent4>
        <a:srgbClr val="FFCB1B"/>
      </a:accent4>
      <a:accent5>
        <a:srgbClr val="F26524"/>
      </a:accent5>
      <a:accent6>
        <a:srgbClr val="00B2DD"/>
      </a:accent6>
      <a:hlink>
        <a:srgbClr val="29C3CB"/>
      </a:hlink>
      <a:folHlink>
        <a:srgbClr val="F26524"/>
      </a:folHlink>
    </a:clrScheme>
    <a:fontScheme name="CSD -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_x0020_Item xmlns="452c4ca3-ae30-4cd8-8a27-e2f3b2cbfa07" xsi:nil="true"/>
    <PublishingExpirationDate xmlns="http://schemas.microsoft.com/sharepoint/v3" xsi:nil="true"/>
    <PublishingStartDate xmlns="http://schemas.microsoft.com/sharepoint/v3" xsi:nil="true"/>
    <_dlc_DocId xmlns="c7b8c0ee-4cfa-4eee-872f-c2b2b46981d2" xsi:nil="true"/>
    <_dlc_DocIdUrl xmlns="c7b8c0ee-4cfa-4eee-872f-c2b2b46981d2">
      <Url xsi:nil="true"/>
      <Description xsi:nil="true"/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8F73F1CCF0F41AF5E83667062EF47" ma:contentTypeVersion="2" ma:contentTypeDescription="Create a new document." ma:contentTypeScope="" ma:versionID="414207eec40db3a3cb4b48210f094b06">
  <xsd:schema xmlns:xsd="http://www.w3.org/2001/XMLSchema" xmlns:xs="http://www.w3.org/2001/XMLSchema" xmlns:p="http://schemas.microsoft.com/office/2006/metadata/properties" xmlns:ns1="http://schemas.microsoft.com/sharepoint/v3" xmlns:ns2="452c4ca3-ae30-4cd8-8a27-e2f3b2cbfa07" xmlns:ns3="c7b8c0ee-4cfa-4eee-872f-c2b2b46981d2" targetNamespace="http://schemas.microsoft.com/office/2006/metadata/properties" ma:root="true" ma:fieldsID="74664eb9a83f87ed35815021e388d4e3" ns1:_="" ns2:_="" ns3:_="">
    <xsd:import namespace="http://schemas.microsoft.com/sharepoint/v3"/>
    <xsd:import namespace="452c4ca3-ae30-4cd8-8a27-e2f3b2cbfa07"/>
    <xsd:import namespace="c7b8c0ee-4cfa-4eee-872f-c2b2b46981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genda_x0020_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4ca3-ae30-4cd8-8a27-e2f3b2cbfa07" elementFormDefault="qualified">
    <xsd:import namespace="http://schemas.microsoft.com/office/2006/documentManagement/types"/>
    <xsd:import namespace="http://schemas.microsoft.com/office/infopath/2007/PartnerControls"/>
    <xsd:element name="Agenda_x0020_Item" ma:index="10" nillable="true" ma:displayName="Agenda Item" ma:format="Dropdown" ma:internalName="Agenda_x0020_Item">
      <xsd:simpleType>
        <xsd:union memberTypes="dms:Text">
          <xsd:simpleType>
            <xsd:restriction base="dms:Choice">
              <xsd:enumeration value="01"/>
              <xsd:enumeration value="01a"/>
              <xsd:enumeration value="02"/>
              <xsd:enumeration value="03"/>
              <xsd:enumeration value="04"/>
              <xsd:enumeration value="05"/>
              <xsd:enumeration value="06"/>
              <xsd:enumeration value="07"/>
              <xsd:enumeration value="07a"/>
              <xsd:enumeration value="08"/>
              <xsd:enumeration value="09"/>
              <xsd:enumeration value="10"/>
              <xsd:enumeration value="11"/>
              <xsd:enumeration value="12"/>
              <xsd:enumeration value="1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c0ee-4cfa-4eee-872f-c2b2b46981d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99FF3CDC43304B6DBBB78A53EC61BE3D" version="1.0.0">
  <systemFields>
    <field name="Objective-Id">
      <value order="0">A1030570</value>
    </field>
    <field name="Objective-Title">
      <value order="0">Attachment A: The updated National Legal Direction 'Warning Letters' (2022)</value>
    </field>
    <field name="Objective-Description">
      <value order="0"/>
    </field>
    <field name="Objective-CreationStamp">
      <value order="0">2022-05-10T02:50:19Z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2022-06-08T01:47:14Z</value>
    </field>
    <field name="Objective-Owner">
      <value order="0">Lukas Julia</value>
    </field>
    <field name="Objective-Path">
      <value order="0">CDPP Global Folder:Commonwealth Solicitor:LBI Branch:Legal Business Improvement:National Policies:GDM Chapters and conversions to NLD:GDM conversion to NLD:2016 Task 14 Convert GDMs to NLDs:Warning Letters</value>
    </field>
    <field name="Objective-Parent">
      <value order="0">Warning Letters</value>
    </field>
    <field name="Objective-State">
      <value order="0">Being Drafted</value>
    </field>
    <field name="Objective-VersionId">
      <value order="0">vA1051082</value>
    </field>
    <field name="Objective-Version">
      <value order="0">0.5</value>
    </field>
    <field name="Objective-VersionNumber">
      <value order="0">5</value>
    </field>
    <field name="Objective-VersionComment">
      <value order="0">Update</value>
    </field>
    <field name="Objective-FileNumber">
      <value order="0">2022/00951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B565083-6D07-44EC-B4F5-F0E169A49D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F20000-C5D4-4C8D-AFFD-04E8B7803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BD773-9E6C-42B0-8BD9-3BC02A150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B66C9-A4FE-4E19-9E6F-22C859A8E471}">
  <ds:schemaRefs>
    <ds:schemaRef ds:uri="http://schemas.microsoft.com/office/2006/metadata/properties"/>
    <ds:schemaRef ds:uri="http://schemas.microsoft.com/office/infopath/2007/PartnerControls"/>
    <ds:schemaRef ds:uri="452c4ca3-ae30-4cd8-8a27-e2f3b2cbfa07"/>
    <ds:schemaRef ds:uri="http://schemas.microsoft.com/sharepoint/v3"/>
    <ds:schemaRef ds:uri="c7b8c0ee-4cfa-4eee-872f-c2b2b46981d2"/>
  </ds:schemaRefs>
</ds:datastoreItem>
</file>

<file path=customXml/itemProps5.xml><?xml version="1.0" encoding="utf-8"?>
<ds:datastoreItem xmlns:ds="http://schemas.openxmlformats.org/officeDocument/2006/customXml" ds:itemID="{B9BFF5B6-5D8A-4C01-A024-815A98FFB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c4ca3-ae30-4cd8-8a27-e2f3b2cbfa07"/>
    <ds:schemaRef ds:uri="c7b8c0ee-4cfa-4eee-872f-c2b2b4698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1206</Words>
  <Characters>6091</Characters>
  <Application>Microsoft Office Word</Application>
  <DocSecurity>0</DocSecurity>
  <Lines>135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Legal Direction (NLD): Prosecution Services for Partner Agencies</vt:lpstr>
    </vt:vector>
  </TitlesOfParts>
  <Company>Commonwealth DPP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Legal Direction (NLD): Prosecution Services for Partner Agencies</dc:title>
  <dc:subject>CDPP Prosecution Services</dc:subject>
  <dc:creator>Commonwealth DPP</dc:creator>
  <cp:keywords>NLD;</cp:keywords>
  <dc:description/>
  <cp:lastModifiedBy>McCormick Amelia</cp:lastModifiedBy>
  <cp:revision>3</cp:revision>
  <cp:lastPrinted>2023-03-02T00:43:00Z</cp:lastPrinted>
  <dcterms:created xsi:type="dcterms:W3CDTF">2023-05-10T00:44:00Z</dcterms:created>
  <dcterms:modified xsi:type="dcterms:W3CDTF">2023-05-10T03:36:00Z</dcterms:modified>
  <cp:category>In House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ype">
    <vt:lpwstr>National Legal Direction; NLD</vt:lpwstr>
  </property>
  <property fmtid="{D5CDD505-2E9C-101B-9397-08002B2CF9AE}" pid="3" name="Source">
    <vt:lpwstr>Commonwealth DPP</vt:lpwstr>
  </property>
  <property fmtid="{D5CDD505-2E9C-101B-9397-08002B2CF9AE}" pid="4" name="PM_SecurityClassification">
    <vt:lpwstr>UNCLASSIFIED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UNCLASSIFIED</vt:lpwstr>
  </property>
  <property fmtid="{D5CDD505-2E9C-101B-9397-08002B2CF9AE}" pid="7" name="PM_InsertionValue">
    <vt:lpwstr>UNCLASSIFIED</vt:lpwstr>
  </property>
  <property fmtid="{D5CDD505-2E9C-101B-9397-08002B2CF9AE}" pid="8" name="PM_Originator_Hash_SHA1">
    <vt:lpwstr>9C4B013AA0F79C2F75E53BA8714A3E6055890295</vt:lpwstr>
  </property>
  <property fmtid="{D5CDD505-2E9C-101B-9397-08002B2CF9AE}" pid="9" name="PM_Hash_Version">
    <vt:lpwstr>2012.2</vt:lpwstr>
  </property>
  <property fmtid="{D5CDD505-2E9C-101B-9397-08002B2CF9AE}" pid="10" name="PM_Hash_Salt">
    <vt:lpwstr>0D905F3DBBA13F065B65C97BAA98E1FC</vt:lpwstr>
  </property>
  <property fmtid="{D5CDD505-2E9C-101B-9397-08002B2CF9AE}" pid="11" name="PM_Hash_SHA1">
    <vt:lpwstr>F49F478129ACA5846FC2950F998D6B97153AAC98</vt:lpwstr>
  </property>
  <property fmtid="{D5CDD505-2E9C-101B-9397-08002B2CF9AE}" pid="12" name="Objective-Id">
    <vt:lpwstr>A1030570</vt:lpwstr>
  </property>
  <property fmtid="{D5CDD505-2E9C-101B-9397-08002B2CF9AE}" pid="13" name="Objective-Title">
    <vt:lpwstr>Attachment A: The updated National Legal Direction 'Warning Letters' (2022)</vt:lpwstr>
  </property>
  <property fmtid="{D5CDD505-2E9C-101B-9397-08002B2CF9AE}" pid="14" name="Objective-Description">
    <vt:lpwstr/>
  </property>
  <property fmtid="{D5CDD505-2E9C-101B-9397-08002B2CF9AE}" pid="15" name="Objective-CreationStamp">
    <vt:filetime>2022-05-10T02:50:19Z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2022-06-08T01:47:14Z</vt:filetime>
  </property>
  <property fmtid="{D5CDD505-2E9C-101B-9397-08002B2CF9AE}" pid="20" name="Objective-Owner">
    <vt:lpwstr>Lukas Julia</vt:lpwstr>
  </property>
  <property fmtid="{D5CDD505-2E9C-101B-9397-08002B2CF9AE}" pid="21" name="Objective-Path">
    <vt:lpwstr>CDPP Global Folder:Commonwealth Solicitor:LBI Branch:Legal Business Improvement:National Policies:GDM Chapters and conversions to NLD:GDM conversion to NLD:2016 Task 14 Convert GDMs to NLDs:Warning Letters</vt:lpwstr>
  </property>
  <property fmtid="{D5CDD505-2E9C-101B-9397-08002B2CF9AE}" pid="22" name="Objective-Parent">
    <vt:lpwstr>Warning Letters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vA1051082</vt:lpwstr>
  </property>
  <property fmtid="{D5CDD505-2E9C-101B-9397-08002B2CF9AE}" pid="25" name="Objective-Version">
    <vt:lpwstr>0.5</vt:lpwstr>
  </property>
  <property fmtid="{D5CDD505-2E9C-101B-9397-08002B2CF9AE}" pid="26" name="Objective-VersionNumber">
    <vt:r8>5</vt:r8>
  </property>
  <property fmtid="{D5CDD505-2E9C-101B-9397-08002B2CF9AE}" pid="27" name="Objective-VersionComment">
    <vt:lpwstr>Update</vt:lpwstr>
  </property>
  <property fmtid="{D5CDD505-2E9C-101B-9397-08002B2CF9AE}" pid="28" name="Objective-FileNumber">
    <vt:lpwstr>2022/00951</vt:lpwstr>
  </property>
  <property fmtid="{D5CDD505-2E9C-101B-9397-08002B2CF9AE}" pid="29" name="Objective-Classification">
    <vt:lpwstr>OFFICIAL</vt:lpwstr>
  </property>
  <property fmtid="{D5CDD505-2E9C-101B-9397-08002B2CF9AE}" pid="30" name="Objective-Caveats">
    <vt:lpwstr/>
  </property>
  <property fmtid="{D5CDD505-2E9C-101B-9397-08002B2CF9AE}" pid="31" name="Objective-Document Category">
    <vt:lpwstr/>
  </property>
  <property fmtid="{D5CDD505-2E9C-101B-9397-08002B2CF9AE}" pid="32" name="Objective-Jurisdiction/Office">
    <vt:lpwstr/>
  </property>
  <property fmtid="{D5CDD505-2E9C-101B-9397-08002B2CF9AE}" pid="33" name="Objective-Reference">
    <vt:lpwstr/>
  </property>
  <property fmtid="{D5CDD505-2E9C-101B-9397-08002B2CF9AE}" pid="34" name="Objective-Next Review Date">
    <vt:lpwstr/>
  </property>
  <property fmtid="{D5CDD505-2E9C-101B-9397-08002B2CF9AE}" pid="35" name="Objective-Review Status">
    <vt:lpwstr/>
  </property>
  <property fmtid="{D5CDD505-2E9C-101B-9397-08002B2CF9AE}" pid="36" name="Objective-Sponsor">
    <vt:lpwstr/>
  </property>
</Properties>
</file>