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D864" w14:textId="77777777" w:rsidR="00351DD0" w:rsidRDefault="004345FB" w:rsidP="0070490C">
      <w:pPr>
        <w:pStyle w:val="DocumentGroup"/>
        <w:spacing w:line="23" w:lineRule="atLeast"/>
      </w:pPr>
      <w:r>
        <w:t>National Legal Directions</w:t>
      </w:r>
    </w:p>
    <w:p w14:paraId="73535D73" w14:textId="0706F449" w:rsidR="00867776" w:rsidRDefault="00867776" w:rsidP="00867776">
      <w:pPr>
        <w:pStyle w:val="Title"/>
      </w:pPr>
      <w:r w:rsidRPr="00840407">
        <w:t>Suppression</w:t>
      </w:r>
      <w:r>
        <w:t xml:space="preserve"> </w:t>
      </w:r>
      <w:r w:rsidR="007D26A8">
        <w:t>O</w:t>
      </w:r>
      <w:r>
        <w:t>rders, Non-Publication Orders and Pseudonym Orders</w:t>
      </w:r>
    </w:p>
    <w:p w14:paraId="36ADB208" w14:textId="1D08F4BA" w:rsidR="00374708" w:rsidRPr="00374708" w:rsidRDefault="00374708" w:rsidP="008F0014">
      <w:r>
        <w:tab/>
      </w:r>
      <w:r>
        <w:tab/>
      </w:r>
      <w:r>
        <w:tab/>
      </w:r>
      <w:r>
        <w:tab/>
      </w:r>
      <w:r>
        <w:tab/>
      </w:r>
      <w:r>
        <w:tab/>
      </w:r>
      <w:r>
        <w:tab/>
      </w:r>
      <w:r>
        <w:tab/>
      </w:r>
      <w:r>
        <w:tab/>
      </w:r>
      <w:r w:rsidR="00DE363F">
        <w:tab/>
      </w:r>
      <w:r>
        <w:t>Last update: March 2021</w:t>
      </w:r>
    </w:p>
    <w:p w14:paraId="1008A2D3" w14:textId="77777777" w:rsidR="00374708" w:rsidRDefault="00374708" w:rsidP="00374708">
      <w:pPr>
        <w:pStyle w:val="TOC2"/>
      </w:pPr>
    </w:p>
    <w:p w14:paraId="6DECDE72" w14:textId="30B56EDA" w:rsidR="002A4A54" w:rsidRDefault="00374708" w:rsidP="00374708">
      <w:pPr>
        <w:pStyle w:val="TOC2"/>
        <w:rPr>
          <w:noProof/>
        </w:rPr>
      </w:pPr>
      <w:r>
        <w:t>Contents</w:t>
      </w:r>
      <w:r w:rsidR="007541F2">
        <w:fldChar w:fldCharType="begin"/>
      </w:r>
      <w:r w:rsidR="007541F2">
        <w:instrText xml:space="preserve"> TOC \o "1-3" \h \z \u </w:instrText>
      </w:r>
      <w:r w:rsidR="007541F2">
        <w:fldChar w:fldCharType="separate"/>
      </w:r>
      <w:bookmarkStart w:id="0" w:name="_Hlt63954456"/>
      <w:bookmarkStart w:id="1" w:name="_Hlt63954659"/>
      <w:bookmarkStart w:id="2" w:name="_Hlt63954969"/>
    </w:p>
    <w:bookmarkEnd w:id="0"/>
    <w:bookmarkEnd w:id="1"/>
    <w:bookmarkEnd w:id="2"/>
    <w:p w14:paraId="331EAC42" w14:textId="220B56FE" w:rsidR="002A4A54" w:rsidRDefault="002A4A54" w:rsidP="00374708">
      <w:pPr>
        <w:pStyle w:val="TOC2"/>
        <w:rPr>
          <w:rFonts w:asciiTheme="minorHAnsi" w:eastAsiaTheme="minorEastAsia" w:hAnsiTheme="minorHAnsi" w:cstheme="minorBidi"/>
          <w:noProof/>
          <w:color w:val="auto"/>
          <w:lang w:eastAsia="en-AU"/>
        </w:rPr>
      </w:pPr>
      <w:r w:rsidRPr="00DC7213">
        <w:rPr>
          <w:rStyle w:val="Hyperlink"/>
          <w:noProof/>
        </w:rPr>
        <w:fldChar w:fldCharType="begin"/>
      </w:r>
      <w:r w:rsidRPr="00DC7213">
        <w:rPr>
          <w:rStyle w:val="Hyperlink"/>
          <w:noProof/>
        </w:rPr>
        <w:instrText xml:space="preserve"> </w:instrText>
      </w:r>
      <w:r>
        <w:rPr>
          <w:noProof/>
        </w:rPr>
        <w:instrText>HYPERLINK \l "_Toc64462153"</w:instrText>
      </w:r>
      <w:r w:rsidRPr="00DC7213">
        <w:rPr>
          <w:rStyle w:val="Hyperlink"/>
          <w:noProof/>
        </w:rPr>
        <w:instrText xml:space="preserve"> </w:instrText>
      </w:r>
      <w:r w:rsidRPr="00DC7213">
        <w:rPr>
          <w:rStyle w:val="Hyperlink"/>
          <w:noProof/>
        </w:rPr>
        <w:fldChar w:fldCharType="separate"/>
      </w:r>
      <w:r w:rsidRPr="00DC7213">
        <w:rPr>
          <w:rStyle w:val="Hyperlink"/>
          <w:noProof/>
        </w:rPr>
        <w:t>1.</w:t>
      </w:r>
      <w:r>
        <w:rPr>
          <w:rFonts w:asciiTheme="minorHAnsi" w:eastAsiaTheme="minorEastAsia" w:hAnsiTheme="minorHAnsi" w:cstheme="minorBidi"/>
          <w:noProof/>
          <w:color w:val="auto"/>
          <w:lang w:eastAsia="en-AU"/>
        </w:rPr>
        <w:tab/>
      </w:r>
      <w:r w:rsidRPr="00DC7213">
        <w:rPr>
          <w:rStyle w:val="Hyperlink"/>
          <w:noProof/>
        </w:rPr>
        <w:t>Introduction</w:t>
      </w:r>
      <w:r>
        <w:rPr>
          <w:noProof/>
          <w:webHidden/>
        </w:rPr>
        <w:tab/>
      </w:r>
      <w:r>
        <w:rPr>
          <w:noProof/>
          <w:webHidden/>
        </w:rPr>
        <w:fldChar w:fldCharType="begin"/>
      </w:r>
      <w:r>
        <w:rPr>
          <w:noProof/>
          <w:webHidden/>
        </w:rPr>
        <w:instrText xml:space="preserve"> PAGEREF _Toc64462153 \h </w:instrText>
      </w:r>
      <w:r>
        <w:rPr>
          <w:noProof/>
          <w:webHidden/>
        </w:rPr>
      </w:r>
      <w:r>
        <w:rPr>
          <w:noProof/>
          <w:webHidden/>
        </w:rPr>
        <w:fldChar w:fldCharType="separate"/>
      </w:r>
      <w:r w:rsidR="002525C4">
        <w:rPr>
          <w:noProof/>
          <w:webHidden/>
        </w:rPr>
        <w:t>1</w:t>
      </w:r>
      <w:r>
        <w:rPr>
          <w:noProof/>
          <w:webHidden/>
        </w:rPr>
        <w:fldChar w:fldCharType="end"/>
      </w:r>
      <w:r w:rsidRPr="00DC7213">
        <w:rPr>
          <w:rStyle w:val="Hyperlink"/>
          <w:noProof/>
        </w:rPr>
        <w:fldChar w:fldCharType="end"/>
      </w:r>
    </w:p>
    <w:p w14:paraId="3AC328BC" w14:textId="386232BC" w:rsidR="002A4A54" w:rsidRDefault="002525C4" w:rsidP="00374708">
      <w:pPr>
        <w:pStyle w:val="TOC2"/>
        <w:rPr>
          <w:rFonts w:asciiTheme="minorHAnsi" w:eastAsiaTheme="minorEastAsia" w:hAnsiTheme="minorHAnsi" w:cstheme="minorBidi"/>
          <w:noProof/>
          <w:color w:val="auto"/>
          <w:lang w:eastAsia="en-AU"/>
        </w:rPr>
      </w:pPr>
      <w:hyperlink w:anchor="_Toc64462154" w:history="1">
        <w:r w:rsidR="002A4A54" w:rsidRPr="00DC7213">
          <w:rPr>
            <w:rStyle w:val="Hyperlink"/>
            <w:noProof/>
          </w:rPr>
          <w:t>2.</w:t>
        </w:r>
        <w:r w:rsidR="002A4A54">
          <w:rPr>
            <w:rFonts w:asciiTheme="minorHAnsi" w:eastAsiaTheme="minorEastAsia" w:hAnsiTheme="minorHAnsi" w:cstheme="minorBidi"/>
            <w:noProof/>
            <w:color w:val="auto"/>
            <w:lang w:eastAsia="en-AU"/>
          </w:rPr>
          <w:tab/>
        </w:r>
        <w:r w:rsidR="002A4A54" w:rsidRPr="00DC7213">
          <w:rPr>
            <w:rStyle w:val="Hyperlink"/>
            <w:noProof/>
          </w:rPr>
          <w:t>The power to make a Suppression Order</w:t>
        </w:r>
        <w:r w:rsidR="002A4A54">
          <w:rPr>
            <w:noProof/>
            <w:webHidden/>
          </w:rPr>
          <w:tab/>
        </w:r>
        <w:r w:rsidR="002A4A54">
          <w:rPr>
            <w:noProof/>
            <w:webHidden/>
          </w:rPr>
          <w:fldChar w:fldCharType="begin"/>
        </w:r>
        <w:r w:rsidR="002A4A54">
          <w:rPr>
            <w:noProof/>
            <w:webHidden/>
          </w:rPr>
          <w:instrText xml:space="preserve"> PAGEREF _Toc64462154 \h </w:instrText>
        </w:r>
        <w:r w:rsidR="002A4A54">
          <w:rPr>
            <w:noProof/>
            <w:webHidden/>
          </w:rPr>
        </w:r>
        <w:r w:rsidR="002A4A54">
          <w:rPr>
            <w:noProof/>
            <w:webHidden/>
          </w:rPr>
          <w:fldChar w:fldCharType="separate"/>
        </w:r>
        <w:r>
          <w:rPr>
            <w:noProof/>
            <w:webHidden/>
          </w:rPr>
          <w:t>2</w:t>
        </w:r>
        <w:r w:rsidR="002A4A54">
          <w:rPr>
            <w:noProof/>
            <w:webHidden/>
          </w:rPr>
          <w:fldChar w:fldCharType="end"/>
        </w:r>
      </w:hyperlink>
    </w:p>
    <w:p w14:paraId="6BFE7615" w14:textId="21C6A18E" w:rsidR="002A4A54" w:rsidRDefault="002525C4" w:rsidP="00374708">
      <w:pPr>
        <w:pStyle w:val="TOC2"/>
        <w:rPr>
          <w:rFonts w:asciiTheme="minorHAnsi" w:eastAsiaTheme="minorEastAsia" w:hAnsiTheme="minorHAnsi" w:cstheme="minorBidi"/>
          <w:noProof/>
          <w:color w:val="auto"/>
          <w:lang w:eastAsia="en-AU"/>
        </w:rPr>
      </w:pPr>
      <w:hyperlink w:anchor="_Toc64462155" w:history="1">
        <w:r w:rsidR="002A4A54" w:rsidRPr="00DC7213">
          <w:rPr>
            <w:rStyle w:val="Hyperlink"/>
            <w:noProof/>
          </w:rPr>
          <w:t>3.</w:t>
        </w:r>
        <w:r w:rsidR="002A4A54">
          <w:rPr>
            <w:rFonts w:asciiTheme="minorHAnsi" w:eastAsiaTheme="minorEastAsia" w:hAnsiTheme="minorHAnsi" w:cstheme="minorBidi"/>
            <w:noProof/>
            <w:color w:val="auto"/>
            <w:lang w:eastAsia="en-AU"/>
          </w:rPr>
          <w:tab/>
        </w:r>
        <w:r w:rsidR="002A4A54" w:rsidRPr="00DC7213">
          <w:rPr>
            <w:rStyle w:val="Hyperlink"/>
            <w:noProof/>
          </w:rPr>
          <w:t>Relevant legislation</w:t>
        </w:r>
        <w:r w:rsidR="002A4A54">
          <w:rPr>
            <w:noProof/>
            <w:webHidden/>
          </w:rPr>
          <w:tab/>
        </w:r>
        <w:r w:rsidR="002A4A54">
          <w:rPr>
            <w:noProof/>
            <w:webHidden/>
          </w:rPr>
          <w:fldChar w:fldCharType="begin"/>
        </w:r>
        <w:r w:rsidR="002A4A54">
          <w:rPr>
            <w:noProof/>
            <w:webHidden/>
          </w:rPr>
          <w:instrText xml:space="preserve"> PAGEREF _Toc64462155 \h </w:instrText>
        </w:r>
        <w:r w:rsidR="002A4A54">
          <w:rPr>
            <w:noProof/>
            <w:webHidden/>
          </w:rPr>
        </w:r>
        <w:r w:rsidR="002A4A54">
          <w:rPr>
            <w:noProof/>
            <w:webHidden/>
          </w:rPr>
          <w:fldChar w:fldCharType="separate"/>
        </w:r>
        <w:r>
          <w:rPr>
            <w:noProof/>
            <w:webHidden/>
          </w:rPr>
          <w:t>3</w:t>
        </w:r>
        <w:r w:rsidR="002A4A54">
          <w:rPr>
            <w:noProof/>
            <w:webHidden/>
          </w:rPr>
          <w:fldChar w:fldCharType="end"/>
        </w:r>
      </w:hyperlink>
    </w:p>
    <w:p w14:paraId="1C04EFE7" w14:textId="4A38B275" w:rsidR="002A4A54" w:rsidRDefault="002525C4" w:rsidP="00374708">
      <w:pPr>
        <w:pStyle w:val="TOC2"/>
        <w:rPr>
          <w:rFonts w:asciiTheme="minorHAnsi" w:eastAsiaTheme="minorEastAsia" w:hAnsiTheme="minorHAnsi" w:cstheme="minorBidi"/>
          <w:noProof/>
          <w:color w:val="auto"/>
          <w:lang w:eastAsia="en-AU"/>
        </w:rPr>
      </w:pPr>
      <w:hyperlink w:anchor="_Toc64462156" w:history="1">
        <w:r w:rsidR="002A4A54" w:rsidRPr="00DC7213">
          <w:rPr>
            <w:rStyle w:val="Hyperlink"/>
            <w:noProof/>
          </w:rPr>
          <w:t>4.</w:t>
        </w:r>
        <w:r w:rsidR="002A4A54">
          <w:rPr>
            <w:rFonts w:asciiTheme="minorHAnsi" w:eastAsiaTheme="minorEastAsia" w:hAnsiTheme="minorHAnsi" w:cstheme="minorBidi"/>
            <w:noProof/>
            <w:color w:val="auto"/>
            <w:lang w:eastAsia="en-AU"/>
          </w:rPr>
          <w:tab/>
        </w:r>
        <w:r w:rsidR="002A4A54" w:rsidRPr="00DC7213">
          <w:rPr>
            <w:rStyle w:val="Hyperlink"/>
            <w:noProof/>
          </w:rPr>
          <w:t>Prosecution Application for a Suppression Order</w:t>
        </w:r>
        <w:r w:rsidR="002A4A54">
          <w:rPr>
            <w:noProof/>
            <w:webHidden/>
          </w:rPr>
          <w:tab/>
        </w:r>
        <w:r w:rsidR="002A4A54">
          <w:rPr>
            <w:noProof/>
            <w:webHidden/>
          </w:rPr>
          <w:fldChar w:fldCharType="begin"/>
        </w:r>
        <w:r w:rsidR="002A4A54">
          <w:rPr>
            <w:noProof/>
            <w:webHidden/>
          </w:rPr>
          <w:instrText xml:space="preserve"> PAGEREF _Toc64462156 \h </w:instrText>
        </w:r>
        <w:r w:rsidR="002A4A54">
          <w:rPr>
            <w:noProof/>
            <w:webHidden/>
          </w:rPr>
        </w:r>
        <w:r w:rsidR="002A4A54">
          <w:rPr>
            <w:noProof/>
            <w:webHidden/>
          </w:rPr>
          <w:fldChar w:fldCharType="separate"/>
        </w:r>
        <w:r>
          <w:rPr>
            <w:noProof/>
            <w:webHidden/>
          </w:rPr>
          <w:t>5</w:t>
        </w:r>
        <w:r w:rsidR="002A4A54">
          <w:rPr>
            <w:noProof/>
            <w:webHidden/>
          </w:rPr>
          <w:fldChar w:fldCharType="end"/>
        </w:r>
      </w:hyperlink>
    </w:p>
    <w:p w14:paraId="04743688" w14:textId="6A40DF3F" w:rsidR="002A4A54" w:rsidRDefault="002525C4" w:rsidP="00374708">
      <w:pPr>
        <w:pStyle w:val="TOC2"/>
        <w:rPr>
          <w:rFonts w:asciiTheme="minorHAnsi" w:eastAsiaTheme="minorEastAsia" w:hAnsiTheme="minorHAnsi" w:cstheme="minorBidi"/>
          <w:noProof/>
          <w:color w:val="auto"/>
          <w:lang w:eastAsia="en-AU"/>
        </w:rPr>
      </w:pPr>
      <w:hyperlink w:anchor="_Toc64462157" w:history="1">
        <w:r w:rsidR="002A4A54" w:rsidRPr="00DC7213">
          <w:rPr>
            <w:rStyle w:val="Hyperlink"/>
            <w:rFonts w:cs="Calibri"/>
            <w:noProof/>
          </w:rPr>
          <w:t>5.</w:t>
        </w:r>
        <w:r w:rsidR="002A4A54">
          <w:rPr>
            <w:rFonts w:asciiTheme="minorHAnsi" w:eastAsiaTheme="minorEastAsia" w:hAnsiTheme="minorHAnsi" w:cstheme="minorBidi"/>
            <w:noProof/>
            <w:color w:val="auto"/>
            <w:lang w:eastAsia="en-AU"/>
          </w:rPr>
          <w:tab/>
        </w:r>
        <w:r w:rsidR="002A4A54" w:rsidRPr="00DC7213">
          <w:rPr>
            <w:rStyle w:val="Hyperlink"/>
            <w:noProof/>
          </w:rPr>
          <w:t>Defence</w:t>
        </w:r>
        <w:r w:rsidR="002A4A54" w:rsidRPr="00DC7213">
          <w:rPr>
            <w:rStyle w:val="Hyperlink"/>
            <w:rFonts w:cs="Calibri"/>
            <w:noProof/>
          </w:rPr>
          <w:t xml:space="preserve"> </w:t>
        </w:r>
        <w:r w:rsidR="002A4A54" w:rsidRPr="00DC7213">
          <w:rPr>
            <w:rStyle w:val="Hyperlink"/>
            <w:noProof/>
          </w:rPr>
          <w:t>Application</w:t>
        </w:r>
        <w:r w:rsidR="002A4A54" w:rsidRPr="00DC7213">
          <w:rPr>
            <w:rStyle w:val="Hyperlink"/>
            <w:rFonts w:cs="Calibri"/>
            <w:noProof/>
          </w:rPr>
          <w:t xml:space="preserve"> for a </w:t>
        </w:r>
        <w:r w:rsidR="002A4A54" w:rsidRPr="00DC7213">
          <w:rPr>
            <w:rStyle w:val="Hyperlink"/>
            <w:noProof/>
          </w:rPr>
          <w:t>Suppression</w:t>
        </w:r>
        <w:r w:rsidR="002A4A54" w:rsidRPr="00DC7213">
          <w:rPr>
            <w:rStyle w:val="Hyperlink"/>
            <w:rFonts w:cs="Calibri"/>
            <w:noProof/>
          </w:rPr>
          <w:t xml:space="preserve"> Order</w:t>
        </w:r>
        <w:r w:rsidR="002A4A54">
          <w:rPr>
            <w:noProof/>
            <w:webHidden/>
          </w:rPr>
          <w:tab/>
        </w:r>
        <w:r w:rsidR="002A4A54">
          <w:rPr>
            <w:noProof/>
            <w:webHidden/>
          </w:rPr>
          <w:fldChar w:fldCharType="begin"/>
        </w:r>
        <w:r w:rsidR="002A4A54">
          <w:rPr>
            <w:noProof/>
            <w:webHidden/>
          </w:rPr>
          <w:instrText xml:space="preserve"> PAGEREF _Toc64462157 \h </w:instrText>
        </w:r>
        <w:r w:rsidR="002A4A54">
          <w:rPr>
            <w:noProof/>
            <w:webHidden/>
          </w:rPr>
        </w:r>
        <w:r w:rsidR="002A4A54">
          <w:rPr>
            <w:noProof/>
            <w:webHidden/>
          </w:rPr>
          <w:fldChar w:fldCharType="separate"/>
        </w:r>
        <w:r>
          <w:rPr>
            <w:noProof/>
            <w:webHidden/>
          </w:rPr>
          <w:t>6</w:t>
        </w:r>
        <w:r w:rsidR="002A4A54">
          <w:rPr>
            <w:noProof/>
            <w:webHidden/>
          </w:rPr>
          <w:fldChar w:fldCharType="end"/>
        </w:r>
      </w:hyperlink>
    </w:p>
    <w:p w14:paraId="795CA910" w14:textId="7819B8D6" w:rsidR="002A4A54" w:rsidRDefault="002525C4" w:rsidP="00374708">
      <w:pPr>
        <w:pStyle w:val="TOC2"/>
        <w:rPr>
          <w:rFonts w:asciiTheme="minorHAnsi" w:eastAsiaTheme="minorEastAsia" w:hAnsiTheme="minorHAnsi" w:cstheme="minorBidi"/>
          <w:noProof/>
          <w:color w:val="auto"/>
          <w:lang w:eastAsia="en-AU"/>
        </w:rPr>
      </w:pPr>
      <w:hyperlink w:anchor="_Toc64462158" w:history="1">
        <w:r w:rsidR="002A4A54" w:rsidRPr="00DC7213">
          <w:rPr>
            <w:rStyle w:val="Hyperlink"/>
            <w:noProof/>
          </w:rPr>
          <w:t>6.</w:t>
        </w:r>
        <w:r w:rsidR="002A4A54">
          <w:rPr>
            <w:rFonts w:asciiTheme="minorHAnsi" w:eastAsiaTheme="minorEastAsia" w:hAnsiTheme="minorHAnsi" w:cstheme="minorBidi"/>
            <w:noProof/>
            <w:color w:val="auto"/>
            <w:lang w:eastAsia="en-AU"/>
          </w:rPr>
          <w:tab/>
        </w:r>
        <w:r w:rsidR="002A4A54" w:rsidRPr="00DC7213">
          <w:rPr>
            <w:rStyle w:val="Hyperlink"/>
            <w:noProof/>
          </w:rPr>
          <w:t>Applications made by other Commonwealth entities</w:t>
        </w:r>
        <w:r w:rsidR="002A4A54">
          <w:rPr>
            <w:noProof/>
            <w:webHidden/>
          </w:rPr>
          <w:tab/>
        </w:r>
        <w:r w:rsidR="002A4A54">
          <w:rPr>
            <w:noProof/>
            <w:webHidden/>
          </w:rPr>
          <w:fldChar w:fldCharType="begin"/>
        </w:r>
        <w:r w:rsidR="002A4A54">
          <w:rPr>
            <w:noProof/>
            <w:webHidden/>
          </w:rPr>
          <w:instrText xml:space="preserve"> PAGEREF _Toc64462158 \h </w:instrText>
        </w:r>
        <w:r w:rsidR="002A4A54">
          <w:rPr>
            <w:noProof/>
            <w:webHidden/>
          </w:rPr>
        </w:r>
        <w:r w:rsidR="002A4A54">
          <w:rPr>
            <w:noProof/>
            <w:webHidden/>
          </w:rPr>
          <w:fldChar w:fldCharType="separate"/>
        </w:r>
        <w:r>
          <w:rPr>
            <w:noProof/>
            <w:webHidden/>
          </w:rPr>
          <w:t>6</w:t>
        </w:r>
        <w:r w:rsidR="002A4A54">
          <w:rPr>
            <w:noProof/>
            <w:webHidden/>
          </w:rPr>
          <w:fldChar w:fldCharType="end"/>
        </w:r>
      </w:hyperlink>
    </w:p>
    <w:p w14:paraId="72CECAB6" w14:textId="3BDABDC4" w:rsidR="002A4A54" w:rsidRDefault="002525C4" w:rsidP="00374708">
      <w:pPr>
        <w:pStyle w:val="TOC2"/>
        <w:rPr>
          <w:rFonts w:asciiTheme="minorHAnsi" w:eastAsiaTheme="minorEastAsia" w:hAnsiTheme="minorHAnsi" w:cstheme="minorBidi"/>
          <w:noProof/>
          <w:color w:val="auto"/>
          <w:lang w:eastAsia="en-AU"/>
        </w:rPr>
      </w:pPr>
      <w:hyperlink w:anchor="_Toc64462159" w:history="1">
        <w:r w:rsidR="002A4A54" w:rsidRPr="00DC7213">
          <w:rPr>
            <w:rStyle w:val="Hyperlink"/>
            <w:noProof/>
          </w:rPr>
          <w:t>7.</w:t>
        </w:r>
        <w:r w:rsidR="002A4A54">
          <w:rPr>
            <w:rFonts w:asciiTheme="minorHAnsi" w:eastAsiaTheme="minorEastAsia" w:hAnsiTheme="minorHAnsi" w:cstheme="minorBidi"/>
            <w:noProof/>
            <w:color w:val="auto"/>
            <w:lang w:eastAsia="en-AU"/>
          </w:rPr>
          <w:tab/>
        </w:r>
        <w:r w:rsidR="002A4A54" w:rsidRPr="00DC7213">
          <w:rPr>
            <w:rStyle w:val="Hyperlink"/>
            <w:noProof/>
          </w:rPr>
          <w:t>Templates</w:t>
        </w:r>
        <w:r w:rsidR="002A4A54">
          <w:rPr>
            <w:noProof/>
            <w:webHidden/>
          </w:rPr>
          <w:tab/>
        </w:r>
        <w:r w:rsidR="002A4A54">
          <w:rPr>
            <w:noProof/>
            <w:webHidden/>
          </w:rPr>
          <w:fldChar w:fldCharType="begin"/>
        </w:r>
        <w:r w:rsidR="002A4A54">
          <w:rPr>
            <w:noProof/>
            <w:webHidden/>
          </w:rPr>
          <w:instrText xml:space="preserve"> PAGEREF _Toc64462159 \h </w:instrText>
        </w:r>
        <w:r w:rsidR="002A4A54">
          <w:rPr>
            <w:noProof/>
            <w:webHidden/>
          </w:rPr>
        </w:r>
        <w:r w:rsidR="002A4A54">
          <w:rPr>
            <w:noProof/>
            <w:webHidden/>
          </w:rPr>
          <w:fldChar w:fldCharType="separate"/>
        </w:r>
        <w:r>
          <w:rPr>
            <w:noProof/>
            <w:webHidden/>
          </w:rPr>
          <w:t>7</w:t>
        </w:r>
        <w:r w:rsidR="002A4A54">
          <w:rPr>
            <w:noProof/>
            <w:webHidden/>
          </w:rPr>
          <w:fldChar w:fldCharType="end"/>
        </w:r>
      </w:hyperlink>
    </w:p>
    <w:p w14:paraId="0243AAB9" w14:textId="3BAFC25A" w:rsidR="002A4A54" w:rsidRDefault="002525C4" w:rsidP="00374708">
      <w:pPr>
        <w:pStyle w:val="TOC2"/>
        <w:rPr>
          <w:rFonts w:asciiTheme="minorHAnsi" w:eastAsiaTheme="minorEastAsia" w:hAnsiTheme="minorHAnsi" w:cstheme="minorBidi"/>
          <w:noProof/>
          <w:color w:val="auto"/>
          <w:lang w:eastAsia="en-AU"/>
        </w:rPr>
      </w:pPr>
      <w:hyperlink w:anchor="_Toc64462160" w:history="1">
        <w:r w:rsidR="002A4A54" w:rsidRPr="00DC7213">
          <w:rPr>
            <w:rStyle w:val="Hyperlink"/>
            <w:noProof/>
          </w:rPr>
          <w:t>8.</w:t>
        </w:r>
        <w:r w:rsidR="002A4A54">
          <w:rPr>
            <w:rFonts w:asciiTheme="minorHAnsi" w:eastAsiaTheme="minorEastAsia" w:hAnsiTheme="minorHAnsi" w:cstheme="minorBidi"/>
            <w:noProof/>
            <w:color w:val="auto"/>
            <w:lang w:eastAsia="en-AU"/>
          </w:rPr>
          <w:tab/>
        </w:r>
        <w:r w:rsidR="002A4A54" w:rsidRPr="00DC7213">
          <w:rPr>
            <w:rStyle w:val="Hyperlink"/>
            <w:noProof/>
          </w:rPr>
          <w:t>Media Interest</w:t>
        </w:r>
        <w:r w:rsidR="002A4A54">
          <w:rPr>
            <w:noProof/>
            <w:webHidden/>
          </w:rPr>
          <w:tab/>
        </w:r>
        <w:r w:rsidR="002A4A54">
          <w:rPr>
            <w:noProof/>
            <w:webHidden/>
          </w:rPr>
          <w:fldChar w:fldCharType="begin"/>
        </w:r>
        <w:r w:rsidR="002A4A54">
          <w:rPr>
            <w:noProof/>
            <w:webHidden/>
          </w:rPr>
          <w:instrText xml:space="preserve"> PAGEREF _Toc64462160 \h </w:instrText>
        </w:r>
        <w:r w:rsidR="002A4A54">
          <w:rPr>
            <w:noProof/>
            <w:webHidden/>
          </w:rPr>
        </w:r>
        <w:r w:rsidR="002A4A54">
          <w:rPr>
            <w:noProof/>
            <w:webHidden/>
          </w:rPr>
          <w:fldChar w:fldCharType="separate"/>
        </w:r>
        <w:r>
          <w:rPr>
            <w:noProof/>
            <w:webHidden/>
          </w:rPr>
          <w:t>7</w:t>
        </w:r>
        <w:r w:rsidR="002A4A54">
          <w:rPr>
            <w:noProof/>
            <w:webHidden/>
          </w:rPr>
          <w:fldChar w:fldCharType="end"/>
        </w:r>
      </w:hyperlink>
    </w:p>
    <w:p w14:paraId="78F91F65" w14:textId="38CCD3A9" w:rsidR="002A4A54" w:rsidRDefault="002525C4" w:rsidP="00374708">
      <w:pPr>
        <w:pStyle w:val="TOC2"/>
        <w:rPr>
          <w:rFonts w:asciiTheme="minorHAnsi" w:eastAsiaTheme="minorEastAsia" w:hAnsiTheme="minorHAnsi" w:cstheme="minorBidi"/>
          <w:noProof/>
          <w:lang w:eastAsia="en-AU"/>
        </w:rPr>
      </w:pPr>
      <w:hyperlink w:anchor="_Toc64462161" w:history="1">
        <w:r w:rsidR="002A4A54" w:rsidRPr="00DC7213">
          <w:rPr>
            <w:rStyle w:val="Hyperlink"/>
            <w:noProof/>
          </w:rPr>
          <w:t>9.</w:t>
        </w:r>
        <w:r w:rsidR="002A4A54">
          <w:rPr>
            <w:rFonts w:asciiTheme="minorHAnsi" w:eastAsiaTheme="minorEastAsia" w:hAnsiTheme="minorHAnsi" w:cstheme="minorBidi"/>
            <w:noProof/>
            <w:lang w:eastAsia="en-AU"/>
          </w:rPr>
          <w:tab/>
        </w:r>
        <w:r w:rsidR="002A4A54" w:rsidRPr="00DC7213">
          <w:rPr>
            <w:rStyle w:val="Hyperlink"/>
            <w:noProof/>
          </w:rPr>
          <w:t>Recording Suppression Orders in CaseHQ and other required procedures</w:t>
        </w:r>
        <w:r w:rsidR="002A4A54">
          <w:rPr>
            <w:noProof/>
            <w:webHidden/>
          </w:rPr>
          <w:tab/>
        </w:r>
        <w:r w:rsidR="002A4A54">
          <w:rPr>
            <w:noProof/>
            <w:webHidden/>
          </w:rPr>
          <w:fldChar w:fldCharType="begin"/>
        </w:r>
        <w:r w:rsidR="002A4A54">
          <w:rPr>
            <w:noProof/>
            <w:webHidden/>
          </w:rPr>
          <w:instrText xml:space="preserve"> PAGEREF _Toc64462161 \h </w:instrText>
        </w:r>
        <w:r w:rsidR="002A4A54">
          <w:rPr>
            <w:noProof/>
            <w:webHidden/>
          </w:rPr>
        </w:r>
        <w:r w:rsidR="002A4A54">
          <w:rPr>
            <w:noProof/>
            <w:webHidden/>
          </w:rPr>
          <w:fldChar w:fldCharType="separate"/>
        </w:r>
        <w:r>
          <w:rPr>
            <w:noProof/>
            <w:webHidden/>
          </w:rPr>
          <w:t>7</w:t>
        </w:r>
        <w:r w:rsidR="002A4A54">
          <w:rPr>
            <w:noProof/>
            <w:webHidden/>
          </w:rPr>
          <w:fldChar w:fldCharType="end"/>
        </w:r>
      </w:hyperlink>
    </w:p>
    <w:p w14:paraId="08365BA2" w14:textId="5D359642" w:rsidR="002A4A54" w:rsidRDefault="002525C4" w:rsidP="008F0014">
      <w:pPr>
        <w:pStyle w:val="TOC2"/>
        <w:rPr>
          <w:rFonts w:asciiTheme="minorHAnsi" w:eastAsiaTheme="minorEastAsia" w:hAnsiTheme="minorHAnsi" w:cstheme="minorBidi"/>
          <w:noProof/>
          <w:color w:val="auto"/>
          <w:lang w:eastAsia="en-AU"/>
        </w:rPr>
      </w:pPr>
      <w:hyperlink w:anchor="_Toc64462162" w:history="1">
        <w:r w:rsidR="002A4A54" w:rsidRPr="00DC7213">
          <w:rPr>
            <w:rStyle w:val="Hyperlink"/>
            <w:noProof/>
          </w:rPr>
          <w:t>10.</w:t>
        </w:r>
        <w:r w:rsidR="002A4A54">
          <w:rPr>
            <w:rFonts w:asciiTheme="minorHAnsi" w:eastAsiaTheme="minorEastAsia" w:hAnsiTheme="minorHAnsi" w:cstheme="minorBidi"/>
            <w:noProof/>
            <w:color w:val="auto"/>
            <w:lang w:eastAsia="en-AU"/>
          </w:rPr>
          <w:tab/>
        </w:r>
        <w:r w:rsidR="002A4A54" w:rsidRPr="00DC7213">
          <w:rPr>
            <w:rStyle w:val="Hyperlink"/>
            <w:noProof/>
          </w:rPr>
          <w:t>Breach of Suppression Orders</w:t>
        </w:r>
        <w:r w:rsidR="002A4A54">
          <w:rPr>
            <w:noProof/>
            <w:webHidden/>
          </w:rPr>
          <w:tab/>
        </w:r>
        <w:r w:rsidR="002A4A54">
          <w:rPr>
            <w:noProof/>
            <w:webHidden/>
          </w:rPr>
          <w:fldChar w:fldCharType="begin"/>
        </w:r>
        <w:r w:rsidR="002A4A54">
          <w:rPr>
            <w:noProof/>
            <w:webHidden/>
          </w:rPr>
          <w:instrText xml:space="preserve"> PAGEREF _Toc64462162 \h </w:instrText>
        </w:r>
        <w:r w:rsidR="002A4A54">
          <w:rPr>
            <w:noProof/>
            <w:webHidden/>
          </w:rPr>
        </w:r>
        <w:r w:rsidR="002A4A54">
          <w:rPr>
            <w:noProof/>
            <w:webHidden/>
          </w:rPr>
          <w:fldChar w:fldCharType="separate"/>
        </w:r>
        <w:r>
          <w:rPr>
            <w:noProof/>
            <w:webHidden/>
          </w:rPr>
          <w:t>7</w:t>
        </w:r>
        <w:r w:rsidR="002A4A54">
          <w:rPr>
            <w:noProof/>
            <w:webHidden/>
          </w:rPr>
          <w:fldChar w:fldCharType="end"/>
        </w:r>
      </w:hyperlink>
    </w:p>
    <w:p w14:paraId="28661CA9" w14:textId="7AA3FA39" w:rsidR="002A4A54" w:rsidRDefault="002525C4" w:rsidP="008F0014">
      <w:pPr>
        <w:pStyle w:val="TOC2"/>
        <w:rPr>
          <w:rFonts w:asciiTheme="minorHAnsi" w:eastAsiaTheme="minorEastAsia" w:hAnsiTheme="minorHAnsi" w:cstheme="minorBidi"/>
          <w:noProof/>
          <w:color w:val="auto"/>
          <w:lang w:eastAsia="en-AU"/>
        </w:rPr>
      </w:pPr>
      <w:hyperlink w:anchor="_Toc64462163" w:history="1">
        <w:r w:rsidR="002A4A54" w:rsidRPr="00DC7213">
          <w:rPr>
            <w:rStyle w:val="Hyperlink"/>
            <w:noProof/>
          </w:rPr>
          <w:t>11.</w:t>
        </w:r>
        <w:r w:rsidR="002A4A54">
          <w:rPr>
            <w:rFonts w:asciiTheme="minorHAnsi" w:eastAsiaTheme="minorEastAsia" w:hAnsiTheme="minorHAnsi" w:cstheme="minorBidi"/>
            <w:noProof/>
            <w:color w:val="auto"/>
            <w:lang w:eastAsia="en-AU"/>
          </w:rPr>
          <w:tab/>
        </w:r>
        <w:r w:rsidR="002A4A54" w:rsidRPr="00DC7213">
          <w:rPr>
            <w:rStyle w:val="Hyperlink"/>
            <w:noProof/>
          </w:rPr>
          <w:t>Related Resourc</w:t>
        </w:r>
        <w:r w:rsidR="002A4A54" w:rsidRPr="00DC7213">
          <w:rPr>
            <w:rStyle w:val="Hyperlink"/>
            <w:noProof/>
          </w:rPr>
          <w:t>e</w:t>
        </w:r>
        <w:r w:rsidR="002A4A54" w:rsidRPr="00DC7213">
          <w:rPr>
            <w:rStyle w:val="Hyperlink"/>
            <w:noProof/>
          </w:rPr>
          <w:t>s</w:t>
        </w:r>
        <w:r w:rsidR="002A4A54">
          <w:rPr>
            <w:noProof/>
            <w:webHidden/>
          </w:rPr>
          <w:tab/>
        </w:r>
        <w:r w:rsidR="002A4A54">
          <w:rPr>
            <w:noProof/>
            <w:webHidden/>
          </w:rPr>
          <w:fldChar w:fldCharType="begin"/>
        </w:r>
        <w:r w:rsidR="002A4A54">
          <w:rPr>
            <w:noProof/>
            <w:webHidden/>
          </w:rPr>
          <w:instrText xml:space="preserve"> PAGEREF _Toc64462163 \h </w:instrText>
        </w:r>
        <w:r w:rsidR="002A4A54">
          <w:rPr>
            <w:noProof/>
            <w:webHidden/>
          </w:rPr>
        </w:r>
        <w:r w:rsidR="002A4A54">
          <w:rPr>
            <w:noProof/>
            <w:webHidden/>
          </w:rPr>
          <w:fldChar w:fldCharType="separate"/>
        </w:r>
        <w:r>
          <w:rPr>
            <w:noProof/>
            <w:webHidden/>
          </w:rPr>
          <w:t>7</w:t>
        </w:r>
        <w:r w:rsidR="002A4A54">
          <w:rPr>
            <w:noProof/>
            <w:webHidden/>
          </w:rPr>
          <w:fldChar w:fldCharType="end"/>
        </w:r>
      </w:hyperlink>
    </w:p>
    <w:p w14:paraId="70664BD2" w14:textId="06B312AB" w:rsidR="002A4A54" w:rsidRDefault="002525C4" w:rsidP="008F0014">
      <w:pPr>
        <w:pStyle w:val="TOC2"/>
        <w:rPr>
          <w:rFonts w:asciiTheme="minorHAnsi" w:eastAsiaTheme="minorEastAsia" w:hAnsiTheme="minorHAnsi" w:cstheme="minorBidi"/>
          <w:noProof/>
          <w:lang w:eastAsia="en-AU"/>
        </w:rPr>
      </w:pPr>
      <w:hyperlink w:anchor="_Toc64462164" w:history="1">
        <w:r w:rsidR="002A4A54" w:rsidRPr="00DC7213">
          <w:rPr>
            <w:rStyle w:val="Hyperlink"/>
            <w:noProof/>
          </w:rPr>
          <w:t>12.</w:t>
        </w:r>
        <w:r w:rsidR="002A4A54">
          <w:rPr>
            <w:rFonts w:asciiTheme="minorHAnsi" w:eastAsiaTheme="minorEastAsia" w:hAnsiTheme="minorHAnsi" w:cstheme="minorBidi"/>
            <w:noProof/>
            <w:lang w:eastAsia="en-AU"/>
          </w:rPr>
          <w:tab/>
        </w:r>
        <w:r w:rsidR="002A4A54" w:rsidRPr="00DC7213">
          <w:rPr>
            <w:rStyle w:val="Hyperlink"/>
            <w:noProof/>
          </w:rPr>
          <w:t>Annexure A – Exceptions into suppression orders for public officials</w:t>
        </w:r>
        <w:r w:rsidR="002A4A54">
          <w:rPr>
            <w:noProof/>
            <w:webHidden/>
          </w:rPr>
          <w:tab/>
        </w:r>
        <w:r w:rsidR="002A4A54">
          <w:rPr>
            <w:noProof/>
            <w:webHidden/>
          </w:rPr>
          <w:fldChar w:fldCharType="begin"/>
        </w:r>
        <w:r w:rsidR="002A4A54">
          <w:rPr>
            <w:noProof/>
            <w:webHidden/>
          </w:rPr>
          <w:instrText xml:space="preserve"> PAGEREF _Toc64462164 \h </w:instrText>
        </w:r>
        <w:r w:rsidR="002A4A54">
          <w:rPr>
            <w:noProof/>
            <w:webHidden/>
          </w:rPr>
        </w:r>
        <w:r w:rsidR="002A4A54">
          <w:rPr>
            <w:noProof/>
            <w:webHidden/>
          </w:rPr>
          <w:fldChar w:fldCharType="separate"/>
        </w:r>
        <w:r>
          <w:rPr>
            <w:noProof/>
            <w:webHidden/>
          </w:rPr>
          <w:t>8</w:t>
        </w:r>
        <w:r w:rsidR="002A4A54">
          <w:rPr>
            <w:noProof/>
            <w:webHidden/>
          </w:rPr>
          <w:fldChar w:fldCharType="end"/>
        </w:r>
      </w:hyperlink>
    </w:p>
    <w:p w14:paraId="1380CC5C" w14:textId="77777777" w:rsidR="00DD6114" w:rsidRPr="007541F2" w:rsidRDefault="007541F2" w:rsidP="007541F2">
      <w:r>
        <w:rPr>
          <w:b/>
          <w:bCs/>
          <w:noProof/>
        </w:rPr>
        <w:fldChar w:fldCharType="end"/>
      </w:r>
    </w:p>
    <w:p w14:paraId="4F2C90E1" w14:textId="77777777" w:rsidR="007541F2" w:rsidRPr="007541F2" w:rsidRDefault="007541F2" w:rsidP="007541F2">
      <w:pPr>
        <w:pStyle w:val="Heading2"/>
        <w:numPr>
          <w:ilvl w:val="0"/>
          <w:numId w:val="14"/>
        </w:numPr>
      </w:pPr>
      <w:bookmarkStart w:id="3" w:name="_Toc58916917"/>
      <w:bookmarkStart w:id="4" w:name="_Toc64462153"/>
      <w:r w:rsidRPr="007541F2">
        <w:t>Introduction</w:t>
      </w:r>
      <w:bookmarkEnd w:id="3"/>
      <w:bookmarkEnd w:id="4"/>
    </w:p>
    <w:p w14:paraId="7BBEEF10" w14:textId="77777777" w:rsidR="00840407" w:rsidRPr="000C152E" w:rsidRDefault="00840407" w:rsidP="00840407">
      <w:pPr>
        <w:spacing w:after="0"/>
        <w:jc w:val="both"/>
        <w:rPr>
          <w:rFonts w:cs="Calibri"/>
          <w:noProof/>
        </w:rPr>
      </w:pPr>
      <w:r w:rsidRPr="006C0974">
        <w:rPr>
          <w:rFonts w:cs="Calibri"/>
          <w:noProof/>
        </w:rPr>
        <w:t>The CDPP is committed to the principle of open justice and the public’s right to know what is happening in the criminal justice system.  The reporting of cases not only promotes public confidence in the judicial system and the administration of justice, but reinforces the important role deterrence plays in sentencing criminal offenders</w:t>
      </w:r>
      <w:r w:rsidRPr="000C152E">
        <w:rPr>
          <w:rFonts w:cs="Calibri"/>
          <w:noProof/>
        </w:rPr>
        <w:t xml:space="preserve">.  </w:t>
      </w:r>
    </w:p>
    <w:p w14:paraId="66E62528" w14:textId="77777777" w:rsidR="000C152E" w:rsidRDefault="00840407" w:rsidP="000C152E">
      <w:pPr>
        <w:spacing w:after="0"/>
        <w:jc w:val="both"/>
        <w:rPr>
          <w:rFonts w:cs="Calibri"/>
          <w:noProof/>
        </w:rPr>
      </w:pPr>
      <w:r w:rsidRPr="000C152E">
        <w:rPr>
          <w:rFonts w:cs="Calibri"/>
          <w:noProof/>
        </w:rPr>
        <w:t>The CDPP also recognises that the principle of open justice needs to be reconciled with other important considerations such as national security, ensuring a fair trial and the protection of vulnerable witnesses.</w:t>
      </w:r>
      <w:r w:rsidR="000C152E" w:rsidRPr="00A656F9">
        <w:rPr>
          <w:rFonts w:cs="Calibri"/>
          <w:noProof/>
        </w:rPr>
        <w:t xml:space="preserve"> </w:t>
      </w:r>
      <w:r w:rsidR="000C152E" w:rsidRPr="000C152E">
        <w:rPr>
          <w:rFonts w:cs="Calibri"/>
          <w:noProof/>
        </w:rPr>
        <w:t xml:space="preserve"> </w:t>
      </w:r>
    </w:p>
    <w:p w14:paraId="262C628C" w14:textId="77777777" w:rsidR="000C152E" w:rsidRPr="006C0974" w:rsidRDefault="000C152E" w:rsidP="000C152E">
      <w:pPr>
        <w:spacing w:after="0"/>
        <w:jc w:val="both"/>
        <w:rPr>
          <w:rFonts w:cs="Calibri"/>
          <w:noProof/>
        </w:rPr>
      </w:pPr>
      <w:r>
        <w:rPr>
          <w:rFonts w:cs="Calibri"/>
          <w:noProof/>
        </w:rPr>
        <w:t>A</w:t>
      </w:r>
      <w:r w:rsidRPr="00596922">
        <w:rPr>
          <w:rFonts w:cs="Calibri"/>
          <w:noProof/>
        </w:rPr>
        <w:t>s a general proposition, suppression orders will only be warranted in very special circumstances, and should be limited in scope to only what is absolutely necessary to further the administration of justice</w:t>
      </w:r>
      <w:r w:rsidRPr="000C152E">
        <w:rPr>
          <w:rFonts w:cs="Calibri"/>
          <w:noProof/>
        </w:rPr>
        <w:t xml:space="preserve"> in the particular circumstances of a</w:t>
      </w:r>
      <w:r>
        <w:rPr>
          <w:rFonts w:cs="Calibri"/>
          <w:noProof/>
        </w:rPr>
        <w:t xml:space="preserve"> case. </w:t>
      </w:r>
    </w:p>
    <w:p w14:paraId="0FCD67BC" w14:textId="77777777" w:rsidR="00840407" w:rsidRDefault="00840407" w:rsidP="009D23D8">
      <w:pPr>
        <w:spacing w:after="0"/>
        <w:jc w:val="both"/>
        <w:rPr>
          <w:rFonts w:cs="Calibri"/>
          <w:noProof/>
        </w:rPr>
      </w:pPr>
      <w:r w:rsidRPr="006C0974">
        <w:rPr>
          <w:rFonts w:cs="Calibri"/>
          <w:noProof/>
        </w:rPr>
        <w:t>On the occasions that such protection is required</w:t>
      </w:r>
      <w:r w:rsidR="003D66BA">
        <w:rPr>
          <w:rFonts w:cs="Calibri"/>
          <w:noProof/>
        </w:rPr>
        <w:t>,</w:t>
      </w:r>
      <w:r w:rsidRPr="006C0974">
        <w:rPr>
          <w:rFonts w:cs="Calibri"/>
          <w:noProof/>
        </w:rPr>
        <w:t xml:space="preserve"> the CDPP may seek </w:t>
      </w:r>
      <w:r w:rsidR="00001FFB">
        <w:rPr>
          <w:rFonts w:cs="Calibri"/>
          <w:noProof/>
        </w:rPr>
        <w:t>court</w:t>
      </w:r>
      <w:r w:rsidRPr="006C0974">
        <w:rPr>
          <w:rFonts w:cs="Calibri"/>
          <w:noProof/>
        </w:rPr>
        <w:t xml:space="preserve"> orders to protect certain evidence or information</w:t>
      </w:r>
      <w:r w:rsidR="00EB3322">
        <w:rPr>
          <w:rFonts w:cs="Calibri"/>
          <w:noProof/>
        </w:rPr>
        <w:t>,</w:t>
      </w:r>
      <w:r w:rsidRPr="006C0974">
        <w:rPr>
          <w:rFonts w:cs="Calibri"/>
          <w:noProof/>
        </w:rPr>
        <w:t xml:space="preserve"> or advise another Commonwealth agency </w:t>
      </w:r>
      <w:r w:rsidR="000C5586">
        <w:rPr>
          <w:rFonts w:cs="Calibri"/>
          <w:noProof/>
        </w:rPr>
        <w:t xml:space="preserve">or entity </w:t>
      </w:r>
      <w:r w:rsidRPr="006C0974">
        <w:rPr>
          <w:rFonts w:cs="Calibri"/>
          <w:noProof/>
        </w:rPr>
        <w:t>of the development of a situation where they may wish to make an application</w:t>
      </w:r>
      <w:r w:rsidR="00390628">
        <w:rPr>
          <w:rFonts w:cs="Calibri"/>
          <w:noProof/>
        </w:rPr>
        <w:t xml:space="preserve"> to the </w:t>
      </w:r>
      <w:r w:rsidR="00001FFB">
        <w:rPr>
          <w:rFonts w:cs="Calibri"/>
          <w:noProof/>
        </w:rPr>
        <w:t>court</w:t>
      </w:r>
      <w:r w:rsidRPr="006C0974">
        <w:rPr>
          <w:rFonts w:cs="Calibri"/>
          <w:noProof/>
        </w:rPr>
        <w:t xml:space="preserve">.  </w:t>
      </w:r>
      <w:r w:rsidR="00001FFB">
        <w:rPr>
          <w:rFonts w:cs="Calibri"/>
          <w:noProof/>
        </w:rPr>
        <w:t>Court</w:t>
      </w:r>
      <w:r w:rsidR="009D23D8">
        <w:rPr>
          <w:rFonts w:cs="Calibri"/>
          <w:noProof/>
        </w:rPr>
        <w:t>s have a limited power at common law</w:t>
      </w:r>
      <w:r w:rsidR="003D66BA">
        <w:rPr>
          <w:rFonts w:cs="Calibri"/>
          <w:noProof/>
        </w:rPr>
        <w:t xml:space="preserve"> to </w:t>
      </w:r>
      <w:r w:rsidR="00715019">
        <w:rPr>
          <w:rFonts w:cs="Calibri"/>
          <w:noProof/>
        </w:rPr>
        <w:t>make suppression orders</w:t>
      </w:r>
      <w:r w:rsidR="009D23D8">
        <w:rPr>
          <w:rFonts w:cs="Calibri"/>
          <w:noProof/>
        </w:rPr>
        <w:t xml:space="preserve">. </w:t>
      </w:r>
      <w:r w:rsidR="00535151">
        <w:rPr>
          <w:rFonts w:cs="Calibri"/>
          <w:noProof/>
        </w:rPr>
        <w:t>However, s</w:t>
      </w:r>
      <w:r w:rsidRPr="006C0974">
        <w:rPr>
          <w:rFonts w:cs="Calibri"/>
          <w:noProof/>
        </w:rPr>
        <w:t xml:space="preserve">uppression orders </w:t>
      </w:r>
      <w:r w:rsidR="00FB737A">
        <w:rPr>
          <w:rFonts w:cs="Calibri"/>
          <w:noProof/>
        </w:rPr>
        <w:t>are more commonly</w:t>
      </w:r>
      <w:r w:rsidRPr="006C0974">
        <w:rPr>
          <w:rFonts w:cs="Calibri"/>
          <w:noProof/>
        </w:rPr>
        <w:t xml:space="preserve"> made </w:t>
      </w:r>
      <w:r w:rsidR="00FB737A">
        <w:rPr>
          <w:rFonts w:cs="Calibri"/>
          <w:noProof/>
        </w:rPr>
        <w:t>pursuant</w:t>
      </w:r>
      <w:r w:rsidRPr="006C0974">
        <w:rPr>
          <w:rFonts w:cs="Calibri"/>
          <w:noProof/>
        </w:rPr>
        <w:t xml:space="preserve"> to Commonwealth, State or Territory legislation.</w:t>
      </w:r>
      <w:r w:rsidR="00196E2E">
        <w:rPr>
          <w:rFonts w:cs="Calibri"/>
          <w:noProof/>
        </w:rPr>
        <w:t xml:space="preserve"> </w:t>
      </w:r>
    </w:p>
    <w:p w14:paraId="561146BA" w14:textId="77777777" w:rsidR="00840407" w:rsidRDefault="00840407" w:rsidP="007541F2">
      <w:pPr>
        <w:spacing w:after="0"/>
        <w:jc w:val="both"/>
        <w:rPr>
          <w:rFonts w:cs="Calibri"/>
          <w:noProof/>
        </w:rPr>
      </w:pPr>
      <w:r>
        <w:rPr>
          <w:rFonts w:cs="Calibri"/>
          <w:noProof/>
        </w:rPr>
        <w:t xml:space="preserve">In some jurisdictions, </w:t>
      </w:r>
      <w:r w:rsidR="007541F2">
        <w:rPr>
          <w:rFonts w:cs="Calibri"/>
          <w:noProof/>
        </w:rPr>
        <w:t>the term</w:t>
      </w:r>
      <w:r w:rsidR="001B29ED">
        <w:rPr>
          <w:rFonts w:cs="Calibri"/>
          <w:noProof/>
        </w:rPr>
        <w:t>s</w:t>
      </w:r>
      <w:r w:rsidR="007541F2">
        <w:rPr>
          <w:rFonts w:cs="Calibri"/>
          <w:noProof/>
        </w:rPr>
        <w:t xml:space="preserve"> ‘non-publication order’ or ‘pseudonym order’</w:t>
      </w:r>
      <w:r>
        <w:rPr>
          <w:rFonts w:cs="Calibri"/>
          <w:noProof/>
        </w:rPr>
        <w:t xml:space="preserve"> </w:t>
      </w:r>
      <w:r w:rsidR="001B29ED">
        <w:rPr>
          <w:rFonts w:cs="Calibri"/>
          <w:noProof/>
        </w:rPr>
        <w:t>are</w:t>
      </w:r>
      <w:r>
        <w:rPr>
          <w:rFonts w:cs="Calibri"/>
          <w:noProof/>
        </w:rPr>
        <w:t xml:space="preserve"> </w:t>
      </w:r>
      <w:r w:rsidR="007541F2">
        <w:rPr>
          <w:rFonts w:cs="Calibri"/>
          <w:noProof/>
        </w:rPr>
        <w:t>used</w:t>
      </w:r>
      <w:r>
        <w:rPr>
          <w:rFonts w:cs="Calibri"/>
          <w:noProof/>
        </w:rPr>
        <w:t xml:space="preserve">.  </w:t>
      </w:r>
    </w:p>
    <w:p w14:paraId="6FD32695" w14:textId="77777777" w:rsidR="007F4FE6" w:rsidRPr="007F4FE6" w:rsidRDefault="002D32CA" w:rsidP="007541F2">
      <w:pPr>
        <w:spacing w:after="0"/>
        <w:jc w:val="both"/>
        <w:rPr>
          <w:rFonts w:cs="Calibri"/>
          <w:noProof/>
        </w:rPr>
      </w:pPr>
      <w:r w:rsidRPr="007F4FE6">
        <w:rPr>
          <w:rFonts w:cs="Calibri"/>
          <w:noProof/>
        </w:rPr>
        <w:t>Relevant terminology</w:t>
      </w:r>
      <w:r w:rsidR="007F4FE6" w:rsidRPr="007F4FE6">
        <w:rPr>
          <w:rFonts w:cs="Calibri"/>
          <w:noProof/>
        </w:rPr>
        <w:t xml:space="preserve"> includes:</w:t>
      </w:r>
    </w:p>
    <w:p w14:paraId="127C1A3E" w14:textId="77777777" w:rsidR="00BA7843" w:rsidRDefault="00BA7843" w:rsidP="00BA7843">
      <w:pPr>
        <w:numPr>
          <w:ilvl w:val="0"/>
          <w:numId w:val="16"/>
        </w:numPr>
        <w:spacing w:after="0"/>
        <w:jc w:val="both"/>
        <w:rPr>
          <w:rFonts w:cs="Calibri"/>
          <w:noProof/>
        </w:rPr>
      </w:pPr>
      <w:r>
        <w:rPr>
          <w:rFonts w:cs="Calibri"/>
          <w:noProof/>
        </w:rPr>
        <w:t>Suppression order – an order</w:t>
      </w:r>
      <w:r w:rsidRPr="006C0974">
        <w:rPr>
          <w:rFonts w:cs="Calibri"/>
          <w:noProof/>
        </w:rPr>
        <w:t xml:space="preserve"> made by </w:t>
      </w:r>
      <w:r>
        <w:rPr>
          <w:rFonts w:cs="Calibri"/>
          <w:noProof/>
        </w:rPr>
        <w:t xml:space="preserve">the </w:t>
      </w:r>
      <w:r w:rsidR="00001FFB">
        <w:rPr>
          <w:rFonts w:cs="Calibri"/>
          <w:noProof/>
        </w:rPr>
        <w:t>court</w:t>
      </w:r>
      <w:r w:rsidRPr="006C0974">
        <w:rPr>
          <w:rFonts w:cs="Calibri"/>
          <w:noProof/>
        </w:rPr>
        <w:t xml:space="preserve"> to prohibit the publication </w:t>
      </w:r>
      <w:r>
        <w:rPr>
          <w:rFonts w:cs="Calibri"/>
          <w:noProof/>
        </w:rPr>
        <w:t xml:space="preserve">or disclosure </w:t>
      </w:r>
      <w:r w:rsidRPr="006C0974">
        <w:rPr>
          <w:rFonts w:cs="Calibri"/>
          <w:noProof/>
        </w:rPr>
        <w:t xml:space="preserve">of </w:t>
      </w:r>
      <w:r w:rsidR="00001FFB">
        <w:rPr>
          <w:rFonts w:cs="Calibri"/>
          <w:noProof/>
        </w:rPr>
        <w:t xml:space="preserve">the content of </w:t>
      </w:r>
      <w:r w:rsidRPr="006C0974">
        <w:rPr>
          <w:rFonts w:cs="Calibri"/>
          <w:noProof/>
        </w:rPr>
        <w:t>particular</w:t>
      </w:r>
      <w:r w:rsidR="00935B53">
        <w:rPr>
          <w:rFonts w:cs="Calibri"/>
          <w:noProof/>
        </w:rPr>
        <w:t xml:space="preserve"> pr</w:t>
      </w:r>
      <w:r w:rsidR="00001FFB">
        <w:rPr>
          <w:rFonts w:cs="Calibri"/>
          <w:noProof/>
        </w:rPr>
        <w:t>o</w:t>
      </w:r>
      <w:r w:rsidR="00935B53">
        <w:rPr>
          <w:rFonts w:cs="Calibri"/>
          <w:noProof/>
        </w:rPr>
        <w:t xml:space="preserve">ceedings, </w:t>
      </w:r>
      <w:r w:rsidRPr="006C0974">
        <w:rPr>
          <w:rFonts w:cs="Calibri"/>
          <w:noProof/>
        </w:rPr>
        <w:t xml:space="preserve"> evidence or information</w:t>
      </w:r>
      <w:r w:rsidR="00390628">
        <w:rPr>
          <w:rFonts w:cs="Calibri"/>
          <w:noProof/>
        </w:rPr>
        <w:t>.</w:t>
      </w:r>
      <w:r w:rsidRPr="006C0974">
        <w:rPr>
          <w:rFonts w:cs="Calibri"/>
          <w:noProof/>
        </w:rPr>
        <w:t xml:space="preserve"> </w:t>
      </w:r>
    </w:p>
    <w:p w14:paraId="3E077698" w14:textId="77777777" w:rsidR="00BA7843" w:rsidRPr="007F4FE6" w:rsidRDefault="00BA7843" w:rsidP="00BA7843">
      <w:pPr>
        <w:numPr>
          <w:ilvl w:val="0"/>
          <w:numId w:val="16"/>
        </w:numPr>
        <w:spacing w:after="0"/>
        <w:jc w:val="both"/>
        <w:rPr>
          <w:rFonts w:cs="Calibri"/>
          <w:noProof/>
        </w:rPr>
      </w:pPr>
      <w:r>
        <w:rPr>
          <w:rFonts w:cs="Calibri"/>
          <w:noProof/>
        </w:rPr>
        <w:t>‘Interim suppression order’ – a suppression order made</w:t>
      </w:r>
      <w:r w:rsidR="00E54BCB">
        <w:rPr>
          <w:rFonts w:cs="Calibri"/>
          <w:noProof/>
        </w:rPr>
        <w:t>,</w:t>
      </w:r>
      <w:r>
        <w:rPr>
          <w:rFonts w:cs="Calibri"/>
          <w:noProof/>
        </w:rPr>
        <w:t xml:space="preserve"> in the interim</w:t>
      </w:r>
      <w:r w:rsidR="00E54BCB">
        <w:rPr>
          <w:rFonts w:cs="Calibri"/>
          <w:noProof/>
        </w:rPr>
        <w:t>,</w:t>
      </w:r>
      <w:r>
        <w:rPr>
          <w:rFonts w:cs="Calibri"/>
          <w:noProof/>
        </w:rPr>
        <w:t xml:space="preserve"> without determining the merits of the suppression order application.</w:t>
      </w:r>
    </w:p>
    <w:p w14:paraId="3F5D764B" w14:textId="77777777" w:rsidR="007F4FE6" w:rsidRDefault="007F4FE6" w:rsidP="007F4FE6">
      <w:pPr>
        <w:numPr>
          <w:ilvl w:val="0"/>
          <w:numId w:val="16"/>
        </w:numPr>
        <w:spacing w:after="0"/>
        <w:jc w:val="both"/>
        <w:rPr>
          <w:rFonts w:cs="Calibri"/>
          <w:noProof/>
        </w:rPr>
      </w:pPr>
      <w:r>
        <w:rPr>
          <w:rFonts w:cs="Calibri"/>
          <w:noProof/>
        </w:rPr>
        <w:lastRenderedPageBreak/>
        <w:t>'P</w:t>
      </w:r>
      <w:r w:rsidRPr="007F4FE6">
        <w:rPr>
          <w:rFonts w:cs="Calibri"/>
          <w:noProof/>
        </w:rPr>
        <w:t xml:space="preserve">seudonym order' </w:t>
      </w:r>
      <w:r>
        <w:rPr>
          <w:rFonts w:cs="Calibri"/>
          <w:noProof/>
        </w:rPr>
        <w:t>-</w:t>
      </w:r>
      <w:r w:rsidRPr="007F4FE6">
        <w:rPr>
          <w:rFonts w:cs="Calibri"/>
          <w:noProof/>
        </w:rPr>
        <w:t xml:space="preserve"> an order which obscur</w:t>
      </w:r>
      <w:r w:rsidR="00E13E10">
        <w:rPr>
          <w:rFonts w:cs="Calibri"/>
          <w:noProof/>
        </w:rPr>
        <w:t xml:space="preserve">es the identity of a person in </w:t>
      </w:r>
      <w:r w:rsidR="006124C9">
        <w:rPr>
          <w:rFonts w:cs="Calibri"/>
          <w:noProof/>
        </w:rPr>
        <w:t>c</w:t>
      </w:r>
      <w:r w:rsidR="00001FFB">
        <w:rPr>
          <w:rFonts w:cs="Calibri"/>
          <w:noProof/>
        </w:rPr>
        <w:t>ourt</w:t>
      </w:r>
      <w:r w:rsidRPr="007F4FE6">
        <w:rPr>
          <w:rFonts w:cs="Calibri"/>
          <w:noProof/>
        </w:rPr>
        <w:t xml:space="preserve"> documents and/or hearings, for example, by initialising a name in </w:t>
      </w:r>
      <w:r w:rsidR="006124C9">
        <w:rPr>
          <w:rFonts w:cs="Calibri"/>
          <w:noProof/>
        </w:rPr>
        <w:t>c</w:t>
      </w:r>
      <w:r w:rsidR="00001FFB">
        <w:rPr>
          <w:rFonts w:cs="Calibri"/>
          <w:noProof/>
        </w:rPr>
        <w:t>ourt</w:t>
      </w:r>
      <w:r w:rsidRPr="007F4FE6">
        <w:rPr>
          <w:rFonts w:cs="Calibri"/>
          <w:noProof/>
        </w:rPr>
        <w:t xml:space="preserve"> documents or by restricting the way the perso</w:t>
      </w:r>
      <w:r w:rsidR="004432CF">
        <w:rPr>
          <w:rFonts w:cs="Calibri"/>
          <w:noProof/>
        </w:rPr>
        <w:t xml:space="preserve">n is referred to in open </w:t>
      </w:r>
      <w:r w:rsidR="006124C9">
        <w:rPr>
          <w:rFonts w:cs="Calibri"/>
          <w:noProof/>
        </w:rPr>
        <w:t>c</w:t>
      </w:r>
      <w:r w:rsidR="00001FFB">
        <w:rPr>
          <w:rFonts w:cs="Calibri"/>
          <w:noProof/>
        </w:rPr>
        <w:t>ourt</w:t>
      </w:r>
      <w:r w:rsidR="00827458">
        <w:rPr>
          <w:rFonts w:cs="Calibri"/>
          <w:noProof/>
        </w:rPr>
        <w:t>.</w:t>
      </w:r>
    </w:p>
    <w:p w14:paraId="7F8FE340" w14:textId="77777777" w:rsidR="007F4FE6" w:rsidRPr="00A223EB" w:rsidRDefault="007F4FE6" w:rsidP="00E932B5">
      <w:pPr>
        <w:numPr>
          <w:ilvl w:val="0"/>
          <w:numId w:val="16"/>
        </w:numPr>
        <w:spacing w:after="0"/>
        <w:jc w:val="both"/>
        <w:rPr>
          <w:rFonts w:cs="Calibri"/>
          <w:noProof/>
        </w:rPr>
      </w:pPr>
      <w:r w:rsidRPr="00E932B5">
        <w:rPr>
          <w:rFonts w:cs="Calibri"/>
          <w:noProof/>
        </w:rPr>
        <w:t>‘Non-publication order’ – an order which serves to prohibit or restrict the publication of information (but do</w:t>
      </w:r>
      <w:r w:rsidR="003D66BA" w:rsidRPr="00E932B5">
        <w:rPr>
          <w:rFonts w:cs="Calibri"/>
          <w:noProof/>
        </w:rPr>
        <w:t>es</w:t>
      </w:r>
      <w:r w:rsidRPr="00E932B5">
        <w:rPr>
          <w:rFonts w:cs="Calibri"/>
          <w:noProof/>
        </w:rPr>
        <w:t xml:space="preserve"> not otherwise prohibit or restrict the </w:t>
      </w:r>
      <w:r w:rsidR="00535151" w:rsidRPr="00E932B5">
        <w:rPr>
          <w:rFonts w:cs="Calibri"/>
          <w:i/>
          <w:noProof/>
        </w:rPr>
        <w:t>disclosure</w:t>
      </w:r>
      <w:r w:rsidR="00535151" w:rsidRPr="00E932B5">
        <w:rPr>
          <w:rFonts w:cs="Calibri"/>
          <w:noProof/>
        </w:rPr>
        <w:t xml:space="preserve"> of information</w:t>
      </w:r>
      <w:r w:rsidRPr="00E932B5">
        <w:rPr>
          <w:rFonts w:cs="Calibri"/>
          <w:noProof/>
        </w:rPr>
        <w:t xml:space="preserve">, being distinct from </w:t>
      </w:r>
      <w:r w:rsidR="00827458" w:rsidRPr="00E932B5">
        <w:rPr>
          <w:rFonts w:cs="Calibri"/>
          <w:noProof/>
        </w:rPr>
        <w:t>s</w:t>
      </w:r>
      <w:r w:rsidRPr="00E932B5">
        <w:rPr>
          <w:rFonts w:cs="Calibri"/>
          <w:noProof/>
        </w:rPr>
        <w:t>uppression orders, which broadly prohibit or restrict the disclosure of information, whether by publication or otherwise</w:t>
      </w:r>
      <w:r w:rsidR="00535151" w:rsidRPr="00E932B5">
        <w:rPr>
          <w:rFonts w:cs="Calibri"/>
          <w:noProof/>
        </w:rPr>
        <w:t>)</w:t>
      </w:r>
      <w:r w:rsidRPr="00E932B5">
        <w:rPr>
          <w:rFonts w:cs="Calibri"/>
          <w:noProof/>
        </w:rPr>
        <w:t>.</w:t>
      </w:r>
    </w:p>
    <w:p w14:paraId="4E0DFD71" w14:textId="77777777" w:rsidR="004432CF" w:rsidRDefault="004432CF" w:rsidP="004432CF">
      <w:pPr>
        <w:numPr>
          <w:ilvl w:val="0"/>
          <w:numId w:val="16"/>
        </w:numPr>
        <w:spacing w:after="0"/>
        <w:jc w:val="both"/>
        <w:rPr>
          <w:rFonts w:cs="Calibri"/>
          <w:noProof/>
        </w:rPr>
      </w:pPr>
      <w:r>
        <w:rPr>
          <w:rFonts w:cs="Calibri"/>
          <w:noProof/>
        </w:rPr>
        <w:t xml:space="preserve">‘Closed  </w:t>
      </w:r>
      <w:r w:rsidR="006124C9">
        <w:rPr>
          <w:rFonts w:cs="Calibri"/>
          <w:noProof/>
        </w:rPr>
        <w:t>c</w:t>
      </w:r>
      <w:r w:rsidR="00001FFB">
        <w:rPr>
          <w:rFonts w:cs="Calibri"/>
          <w:noProof/>
        </w:rPr>
        <w:t>ourt</w:t>
      </w:r>
      <w:r>
        <w:rPr>
          <w:rFonts w:cs="Calibri"/>
          <w:noProof/>
        </w:rPr>
        <w:t xml:space="preserve">’ - a </w:t>
      </w:r>
      <w:r w:rsidR="006124C9">
        <w:rPr>
          <w:rFonts w:cs="Calibri"/>
          <w:noProof/>
        </w:rPr>
        <w:t>c</w:t>
      </w:r>
      <w:r w:rsidR="00001FFB">
        <w:rPr>
          <w:rFonts w:cs="Calibri"/>
          <w:noProof/>
        </w:rPr>
        <w:t>ourt</w:t>
      </w:r>
      <w:r w:rsidRPr="004432CF">
        <w:rPr>
          <w:rFonts w:cs="Calibri"/>
          <w:noProof/>
        </w:rPr>
        <w:t xml:space="preserve"> proceeding where members of the public are</w:t>
      </w:r>
      <w:r>
        <w:rPr>
          <w:rFonts w:cs="Calibri"/>
          <w:noProof/>
        </w:rPr>
        <w:t xml:space="preserve"> restricted </w:t>
      </w:r>
      <w:r w:rsidR="00935B53">
        <w:rPr>
          <w:rFonts w:cs="Calibri"/>
          <w:noProof/>
        </w:rPr>
        <w:t>by an</w:t>
      </w:r>
      <w:r w:rsidR="00001FFB">
        <w:rPr>
          <w:rFonts w:cs="Calibri"/>
          <w:noProof/>
        </w:rPr>
        <w:t xml:space="preserve"> </w:t>
      </w:r>
      <w:r w:rsidR="00935B53">
        <w:rPr>
          <w:rFonts w:cs="Calibri"/>
          <w:noProof/>
        </w:rPr>
        <w:t xml:space="preserve">order of the </w:t>
      </w:r>
      <w:r w:rsidR="00001FFB">
        <w:rPr>
          <w:rFonts w:cs="Calibri"/>
          <w:noProof/>
        </w:rPr>
        <w:t>court</w:t>
      </w:r>
      <w:r w:rsidR="00935B53">
        <w:rPr>
          <w:rFonts w:cs="Calibri"/>
          <w:noProof/>
        </w:rPr>
        <w:t xml:space="preserve"> </w:t>
      </w:r>
      <w:r>
        <w:rPr>
          <w:rFonts w:cs="Calibri"/>
          <w:noProof/>
        </w:rPr>
        <w:t xml:space="preserve">from access to the </w:t>
      </w:r>
      <w:r w:rsidR="006124C9">
        <w:rPr>
          <w:rFonts w:cs="Calibri"/>
          <w:noProof/>
        </w:rPr>
        <w:t>c</w:t>
      </w:r>
      <w:r w:rsidR="00001FFB">
        <w:rPr>
          <w:rFonts w:cs="Calibri"/>
          <w:noProof/>
        </w:rPr>
        <w:t>ourt</w:t>
      </w:r>
      <w:r w:rsidRPr="004432CF">
        <w:rPr>
          <w:rFonts w:cs="Calibri"/>
          <w:noProof/>
        </w:rPr>
        <w:t xml:space="preserve"> room due to the nature and sensitivity of the proceedings</w:t>
      </w:r>
      <w:r>
        <w:rPr>
          <w:rFonts w:cs="Calibri"/>
          <w:noProof/>
        </w:rPr>
        <w:t xml:space="preserve">. </w:t>
      </w:r>
    </w:p>
    <w:p w14:paraId="09C0C72C" w14:textId="77777777" w:rsidR="00386ADE" w:rsidRDefault="00386ADE" w:rsidP="00386ADE">
      <w:pPr>
        <w:spacing w:after="0"/>
        <w:jc w:val="both"/>
        <w:rPr>
          <w:rFonts w:cs="Calibri"/>
          <w:noProof/>
        </w:rPr>
      </w:pPr>
      <w:r>
        <w:rPr>
          <w:rFonts w:cs="Calibri"/>
          <w:noProof/>
        </w:rPr>
        <w:t>For ease of reference, this document will refer to suppression orders, but the same principles apply in relation to non-publication orders and pseudonym orders.</w:t>
      </w:r>
    </w:p>
    <w:p w14:paraId="43A5A4C6" w14:textId="77777777" w:rsidR="004F3D38" w:rsidRPr="004F3D38" w:rsidRDefault="004F3D38" w:rsidP="00386ADE">
      <w:pPr>
        <w:spacing w:after="0"/>
        <w:jc w:val="both"/>
        <w:rPr>
          <w:rFonts w:cs="Calibri"/>
          <w:b/>
          <w:noProof/>
        </w:rPr>
      </w:pPr>
      <w:r w:rsidRPr="004F3D38">
        <w:rPr>
          <w:rFonts w:cs="Calibri"/>
          <w:b/>
          <w:noProof/>
        </w:rPr>
        <w:t>The scope of suppression orders</w:t>
      </w:r>
    </w:p>
    <w:p w14:paraId="44AF05D6" w14:textId="77777777" w:rsidR="004F3D38" w:rsidRDefault="004F3D38" w:rsidP="00386ADE">
      <w:pPr>
        <w:spacing w:after="0"/>
        <w:jc w:val="both"/>
        <w:rPr>
          <w:rFonts w:cs="Calibri"/>
          <w:noProof/>
        </w:rPr>
      </w:pPr>
      <w:r>
        <w:rPr>
          <w:rFonts w:cs="Calibri"/>
          <w:noProof/>
        </w:rPr>
        <w:t xml:space="preserve">Suppression orders may limit the </w:t>
      </w:r>
      <w:r w:rsidR="00EE6A41">
        <w:rPr>
          <w:rFonts w:cs="Calibri"/>
          <w:noProof/>
        </w:rPr>
        <w:t>disclosure</w:t>
      </w:r>
      <w:r>
        <w:rPr>
          <w:rFonts w:cs="Calibri"/>
          <w:noProof/>
        </w:rPr>
        <w:t xml:space="preserve"> or publication of:</w:t>
      </w:r>
    </w:p>
    <w:p w14:paraId="097FCEA5" w14:textId="77777777" w:rsidR="00935B53" w:rsidRDefault="00935B53" w:rsidP="00423190">
      <w:pPr>
        <w:numPr>
          <w:ilvl w:val="0"/>
          <w:numId w:val="19"/>
        </w:numPr>
        <w:spacing w:after="0"/>
        <w:jc w:val="both"/>
        <w:rPr>
          <w:rFonts w:cs="Calibri"/>
          <w:noProof/>
        </w:rPr>
      </w:pPr>
      <w:r>
        <w:rPr>
          <w:rFonts w:cs="Calibri"/>
          <w:noProof/>
        </w:rPr>
        <w:t>The transcript or content of partic</w:t>
      </w:r>
      <w:r w:rsidR="00E54BCB">
        <w:rPr>
          <w:rFonts w:cs="Calibri"/>
          <w:noProof/>
        </w:rPr>
        <w:t>u</w:t>
      </w:r>
      <w:r>
        <w:rPr>
          <w:rFonts w:cs="Calibri"/>
          <w:noProof/>
        </w:rPr>
        <w:t>lar proceedings, or reference to same</w:t>
      </w:r>
      <w:r w:rsidR="00E54BCB">
        <w:rPr>
          <w:rFonts w:cs="Calibri"/>
          <w:noProof/>
        </w:rPr>
        <w:t>;</w:t>
      </w:r>
    </w:p>
    <w:p w14:paraId="072732A3" w14:textId="77777777" w:rsidR="004F3D38" w:rsidRDefault="004F3D38" w:rsidP="00A800A6">
      <w:pPr>
        <w:numPr>
          <w:ilvl w:val="0"/>
          <w:numId w:val="18"/>
        </w:numPr>
        <w:spacing w:after="0"/>
        <w:ind w:left="714" w:hanging="357"/>
        <w:contextualSpacing/>
        <w:jc w:val="both"/>
        <w:rPr>
          <w:rFonts w:cs="Calibri"/>
          <w:noProof/>
        </w:rPr>
      </w:pPr>
      <w:r>
        <w:rPr>
          <w:rFonts w:cs="Calibri"/>
          <w:noProof/>
        </w:rPr>
        <w:t>The names of particular parties or witnesses;</w:t>
      </w:r>
    </w:p>
    <w:p w14:paraId="05CE4E84" w14:textId="77777777" w:rsidR="004F3D38" w:rsidRDefault="004F3D38" w:rsidP="00A800A6">
      <w:pPr>
        <w:numPr>
          <w:ilvl w:val="0"/>
          <w:numId w:val="18"/>
        </w:numPr>
        <w:spacing w:after="0"/>
        <w:ind w:left="714" w:hanging="357"/>
        <w:contextualSpacing/>
        <w:jc w:val="both"/>
        <w:rPr>
          <w:rFonts w:cs="Calibri"/>
          <w:noProof/>
        </w:rPr>
      </w:pPr>
      <w:r>
        <w:rPr>
          <w:rFonts w:cs="Calibri"/>
          <w:noProof/>
        </w:rPr>
        <w:t>Certain evidence;</w:t>
      </w:r>
    </w:p>
    <w:p w14:paraId="56A6D360" w14:textId="77777777" w:rsidR="004F3D38" w:rsidRDefault="004F3D38" w:rsidP="00A800A6">
      <w:pPr>
        <w:numPr>
          <w:ilvl w:val="0"/>
          <w:numId w:val="18"/>
        </w:numPr>
        <w:spacing w:after="0"/>
        <w:ind w:left="714" w:hanging="357"/>
        <w:contextualSpacing/>
        <w:jc w:val="both"/>
        <w:rPr>
          <w:rFonts w:cs="Calibri"/>
          <w:noProof/>
        </w:rPr>
      </w:pPr>
      <w:r>
        <w:rPr>
          <w:rFonts w:cs="Calibri"/>
          <w:noProof/>
        </w:rPr>
        <w:t>Details of charges</w:t>
      </w:r>
      <w:r w:rsidR="00365EB3">
        <w:rPr>
          <w:rFonts w:cs="Calibri"/>
          <w:noProof/>
        </w:rPr>
        <w:t xml:space="preserve"> or details of a defendant or accused’s</w:t>
      </w:r>
      <w:r w:rsidR="00CD066B">
        <w:rPr>
          <w:rFonts w:cs="Calibri"/>
          <w:noProof/>
        </w:rPr>
        <w:t xml:space="preserve"> criminal history</w:t>
      </w:r>
      <w:r>
        <w:rPr>
          <w:rFonts w:cs="Calibri"/>
          <w:noProof/>
        </w:rPr>
        <w:t>;</w:t>
      </w:r>
    </w:p>
    <w:p w14:paraId="5907F745" w14:textId="77777777" w:rsidR="004F3D38" w:rsidRDefault="004F3D38" w:rsidP="00A800A6">
      <w:pPr>
        <w:numPr>
          <w:ilvl w:val="0"/>
          <w:numId w:val="18"/>
        </w:numPr>
        <w:spacing w:after="0"/>
        <w:ind w:left="714" w:hanging="357"/>
        <w:contextualSpacing/>
        <w:jc w:val="both"/>
        <w:rPr>
          <w:rFonts w:cs="Calibri"/>
          <w:noProof/>
        </w:rPr>
      </w:pPr>
      <w:r>
        <w:rPr>
          <w:rFonts w:cs="Calibri"/>
          <w:noProof/>
        </w:rPr>
        <w:t xml:space="preserve">The content of individual documents before the </w:t>
      </w:r>
      <w:r w:rsidR="006124C9">
        <w:rPr>
          <w:rFonts w:cs="Calibri"/>
          <w:noProof/>
        </w:rPr>
        <w:t>c</w:t>
      </w:r>
      <w:r w:rsidR="00001FFB">
        <w:rPr>
          <w:rFonts w:cs="Calibri"/>
          <w:noProof/>
        </w:rPr>
        <w:t>ourt</w:t>
      </w:r>
      <w:r>
        <w:rPr>
          <w:rFonts w:cs="Calibri"/>
          <w:noProof/>
        </w:rPr>
        <w:t xml:space="preserve"> such as a statement of facts or witness statement</w:t>
      </w:r>
      <w:r w:rsidR="00CD066B">
        <w:rPr>
          <w:rFonts w:cs="Calibri"/>
          <w:noProof/>
        </w:rPr>
        <w:t>s</w:t>
      </w:r>
      <w:r>
        <w:rPr>
          <w:rFonts w:cs="Calibri"/>
          <w:noProof/>
        </w:rPr>
        <w:t>;</w:t>
      </w:r>
    </w:p>
    <w:p w14:paraId="21A5F367" w14:textId="77777777" w:rsidR="0024418F" w:rsidRDefault="0024418F" w:rsidP="00A800A6">
      <w:pPr>
        <w:numPr>
          <w:ilvl w:val="0"/>
          <w:numId w:val="18"/>
        </w:numPr>
        <w:spacing w:after="0"/>
        <w:ind w:left="714" w:hanging="357"/>
        <w:contextualSpacing/>
        <w:jc w:val="both"/>
        <w:rPr>
          <w:rFonts w:cs="Calibri"/>
          <w:noProof/>
        </w:rPr>
      </w:pPr>
      <w:r>
        <w:rPr>
          <w:rFonts w:cs="Calibri"/>
          <w:noProof/>
        </w:rPr>
        <w:t xml:space="preserve">The </w:t>
      </w:r>
      <w:r w:rsidR="008D486E">
        <w:rPr>
          <w:rFonts w:cs="Calibri"/>
          <w:noProof/>
        </w:rPr>
        <w:t>fact that</w:t>
      </w:r>
      <w:r>
        <w:rPr>
          <w:rFonts w:cs="Calibri"/>
          <w:noProof/>
        </w:rPr>
        <w:t xml:space="preserve"> the suppression order itself</w:t>
      </w:r>
      <w:r w:rsidR="008D486E">
        <w:rPr>
          <w:rFonts w:cs="Calibri"/>
          <w:noProof/>
        </w:rPr>
        <w:t xml:space="preserve"> has been made</w:t>
      </w:r>
      <w:r>
        <w:rPr>
          <w:rFonts w:cs="Calibri"/>
          <w:noProof/>
        </w:rPr>
        <w:t xml:space="preserve">; </w:t>
      </w:r>
      <w:r w:rsidR="008D486E">
        <w:rPr>
          <w:rFonts w:cs="Calibri"/>
          <w:noProof/>
        </w:rPr>
        <w:t>and/or</w:t>
      </w:r>
    </w:p>
    <w:p w14:paraId="76776804" w14:textId="77777777" w:rsidR="00DA5EA8" w:rsidRPr="00BF3559" w:rsidRDefault="004F3D38" w:rsidP="00BF3559">
      <w:pPr>
        <w:numPr>
          <w:ilvl w:val="0"/>
          <w:numId w:val="18"/>
        </w:numPr>
        <w:spacing w:after="0"/>
        <w:ind w:left="714" w:hanging="357"/>
        <w:contextualSpacing/>
        <w:jc w:val="both"/>
        <w:rPr>
          <w:rFonts w:cs="Calibri"/>
          <w:noProof/>
        </w:rPr>
      </w:pPr>
      <w:r w:rsidRPr="000C152E">
        <w:rPr>
          <w:rFonts w:cs="Calibri"/>
          <w:noProof/>
        </w:rPr>
        <w:t xml:space="preserve">Any other </w:t>
      </w:r>
      <w:r w:rsidR="00CB27B4" w:rsidRPr="000C152E">
        <w:rPr>
          <w:rFonts w:cs="Calibri"/>
          <w:noProof/>
        </w:rPr>
        <w:t>information originating from or</w:t>
      </w:r>
      <w:r w:rsidRPr="000C152E">
        <w:rPr>
          <w:rFonts w:cs="Calibri"/>
          <w:noProof/>
        </w:rPr>
        <w:t xml:space="preserve"> </w:t>
      </w:r>
      <w:r w:rsidR="00CB27B4" w:rsidRPr="000C152E">
        <w:rPr>
          <w:rFonts w:cs="Calibri"/>
          <w:noProof/>
        </w:rPr>
        <w:t xml:space="preserve">relevant to </w:t>
      </w:r>
      <w:r w:rsidRPr="000C152E">
        <w:rPr>
          <w:rFonts w:cs="Calibri"/>
          <w:noProof/>
        </w:rPr>
        <w:t xml:space="preserve">proceedings. </w:t>
      </w:r>
    </w:p>
    <w:p w14:paraId="5AEDCC71" w14:textId="77777777" w:rsidR="004631C2" w:rsidRDefault="004631C2" w:rsidP="00395B94">
      <w:pPr>
        <w:pStyle w:val="Heading2"/>
        <w:numPr>
          <w:ilvl w:val="0"/>
          <w:numId w:val="14"/>
        </w:numPr>
        <w:rPr>
          <w:noProof/>
        </w:rPr>
      </w:pPr>
      <w:bookmarkStart w:id="5" w:name="_Toc58916918"/>
      <w:bookmarkStart w:id="6" w:name="_Toc64462154"/>
      <w:r>
        <w:rPr>
          <w:noProof/>
        </w:rPr>
        <w:t xml:space="preserve">The power to make </w:t>
      </w:r>
      <w:r w:rsidR="003C5760">
        <w:rPr>
          <w:noProof/>
        </w:rPr>
        <w:t xml:space="preserve">a </w:t>
      </w:r>
      <w:r w:rsidR="006255C5">
        <w:rPr>
          <w:noProof/>
        </w:rPr>
        <w:t>S</w:t>
      </w:r>
      <w:r>
        <w:rPr>
          <w:noProof/>
        </w:rPr>
        <w:t xml:space="preserve">uppression </w:t>
      </w:r>
      <w:r w:rsidR="006255C5">
        <w:rPr>
          <w:noProof/>
        </w:rPr>
        <w:t>O</w:t>
      </w:r>
      <w:r>
        <w:rPr>
          <w:noProof/>
        </w:rPr>
        <w:t>rder</w:t>
      </w:r>
      <w:bookmarkEnd w:id="5"/>
      <w:bookmarkEnd w:id="6"/>
    </w:p>
    <w:p w14:paraId="6FC8F380" w14:textId="77777777" w:rsidR="004631C2" w:rsidRDefault="004631C2" w:rsidP="004631C2">
      <w:r>
        <w:t>There are three sources of powers available to a court in making a suppression order:</w:t>
      </w:r>
    </w:p>
    <w:p w14:paraId="0B325749" w14:textId="77777777" w:rsidR="00FB5D5A" w:rsidRDefault="00FB5D5A" w:rsidP="00FB5D5A">
      <w:pPr>
        <w:numPr>
          <w:ilvl w:val="0"/>
          <w:numId w:val="24"/>
        </w:numPr>
      </w:pPr>
      <w:r>
        <w:t xml:space="preserve">Statutory power (available in all jurisdictions and at all court levels); </w:t>
      </w:r>
    </w:p>
    <w:p w14:paraId="254B40A5" w14:textId="77777777" w:rsidR="004631C2" w:rsidRDefault="004631C2" w:rsidP="004631C2">
      <w:pPr>
        <w:numPr>
          <w:ilvl w:val="0"/>
          <w:numId w:val="24"/>
        </w:numPr>
      </w:pPr>
      <w:r>
        <w:t>The court’s implied power</w:t>
      </w:r>
      <w:r>
        <w:rPr>
          <w:rStyle w:val="FootnoteReference"/>
        </w:rPr>
        <w:footnoteReference w:id="2"/>
      </w:r>
      <w:r>
        <w:t xml:space="preserve"> (Magistrates Court/Local Court, and District Court, only);</w:t>
      </w:r>
      <w:r w:rsidR="00FB5D5A">
        <w:t xml:space="preserve"> or</w:t>
      </w:r>
    </w:p>
    <w:p w14:paraId="52FBCB76" w14:textId="77777777" w:rsidR="004631C2" w:rsidRDefault="004631C2" w:rsidP="004631C2">
      <w:pPr>
        <w:numPr>
          <w:ilvl w:val="0"/>
          <w:numId w:val="24"/>
        </w:numPr>
      </w:pPr>
      <w:r>
        <w:t>The court’s inherent power</w:t>
      </w:r>
      <w:r>
        <w:rPr>
          <w:rStyle w:val="FootnoteReference"/>
        </w:rPr>
        <w:footnoteReference w:id="3"/>
      </w:r>
      <w:r>
        <w:t xml:space="preserve"> (Supreme Court only)</w:t>
      </w:r>
      <w:r w:rsidR="00FB5D5A">
        <w:t xml:space="preserve">. </w:t>
      </w:r>
    </w:p>
    <w:p w14:paraId="20B95FAF" w14:textId="77777777" w:rsidR="00E95C2E" w:rsidRDefault="004631C2" w:rsidP="004631C2">
      <w:r>
        <w:t>Suppression orders are most commonly made pursuant to legislation (see section 3</w:t>
      </w:r>
      <w:r w:rsidR="00DA3583">
        <w:t xml:space="preserve"> below</w:t>
      </w:r>
      <w:r>
        <w:t xml:space="preserve">). </w:t>
      </w:r>
    </w:p>
    <w:p w14:paraId="0298930C" w14:textId="77777777" w:rsidR="00F70396" w:rsidRDefault="004631C2" w:rsidP="004631C2">
      <w:r>
        <w:t xml:space="preserve">However, in rare cases, the court may use its </w:t>
      </w:r>
      <w:r w:rsidR="00E95C2E">
        <w:t xml:space="preserve">implied or inherent power to make a suppression order. </w:t>
      </w:r>
      <w:r w:rsidR="006930A8">
        <w:t>This is the case even in jurisdictions which have suppression order</w:t>
      </w:r>
      <w:r w:rsidR="00F70396" w:rsidRPr="00F70396">
        <w:t xml:space="preserve"> </w:t>
      </w:r>
      <w:r w:rsidR="00F70396">
        <w:t>legislation</w:t>
      </w:r>
      <w:r w:rsidR="006930A8">
        <w:t xml:space="preserve">. </w:t>
      </w:r>
      <w:r w:rsidR="00F70396">
        <w:t xml:space="preserve">This will usually only occur in matters where there is no legislation providing for a suppression order in the </w:t>
      </w:r>
      <w:proofErr w:type="gramStart"/>
      <w:r w:rsidR="00F70396">
        <w:t>particular circumstances</w:t>
      </w:r>
      <w:proofErr w:type="gramEnd"/>
      <w:r w:rsidR="00F70396">
        <w:t>.</w:t>
      </w:r>
      <w:r w:rsidR="00F70396">
        <w:rPr>
          <w:rStyle w:val="FootnoteReference"/>
        </w:rPr>
        <w:footnoteReference w:id="4"/>
      </w:r>
      <w:r w:rsidR="00F70396">
        <w:t xml:space="preserve"> </w:t>
      </w:r>
    </w:p>
    <w:p w14:paraId="324DD800" w14:textId="77777777" w:rsidR="00DA3583" w:rsidRPr="00D6461E" w:rsidRDefault="00E95C2E" w:rsidP="00D6461E">
      <w:r>
        <w:t>Caution should be exercised in making submissions that the court should exercise this power, because there are strict limits to the breadth of implied and inherent powers with regard to suppression orders (</w:t>
      </w:r>
      <w:r w:rsidRPr="00706BC1">
        <w:rPr>
          <w:i/>
          <w:iCs/>
        </w:rPr>
        <w:t xml:space="preserve">John Fairfax Publications Pty Ltd and Another </w:t>
      </w:r>
      <w:r w:rsidR="00DA3583" w:rsidRPr="00706BC1">
        <w:rPr>
          <w:i/>
          <w:iCs/>
        </w:rPr>
        <w:t xml:space="preserve">v </w:t>
      </w:r>
      <w:r w:rsidRPr="00706BC1">
        <w:rPr>
          <w:i/>
          <w:iCs/>
        </w:rPr>
        <w:t xml:space="preserve">District Court </w:t>
      </w:r>
      <w:r w:rsidR="00DA3583" w:rsidRPr="00706BC1">
        <w:rPr>
          <w:i/>
          <w:iCs/>
        </w:rPr>
        <w:t xml:space="preserve">of </w:t>
      </w:r>
      <w:r w:rsidRPr="00706BC1">
        <w:rPr>
          <w:i/>
          <w:iCs/>
        </w:rPr>
        <w:t xml:space="preserve">New South Wales </w:t>
      </w:r>
      <w:r w:rsidR="00DA3583" w:rsidRPr="00706BC1">
        <w:rPr>
          <w:i/>
          <w:iCs/>
        </w:rPr>
        <w:t xml:space="preserve">and </w:t>
      </w:r>
      <w:r w:rsidRPr="00706BC1">
        <w:rPr>
          <w:i/>
          <w:iCs/>
        </w:rPr>
        <w:t>Others</w:t>
      </w:r>
      <w:r>
        <w:t xml:space="preserve"> [2004]</w:t>
      </w:r>
      <w:r>
        <w:rPr>
          <w:rStyle w:val="FootnoteReference"/>
        </w:rPr>
        <w:footnoteReference w:id="5"/>
      </w:r>
      <w:r>
        <w:t>)</w:t>
      </w:r>
      <w:r w:rsidR="00D6461E">
        <w:t xml:space="preserve">. </w:t>
      </w:r>
      <w:bookmarkStart w:id="7" w:name="_Hlk61252316"/>
      <w:r w:rsidR="00DA3583">
        <w:t>In any matter where the defence or a third party seek a suppression order pursuant to the courts implied or inherent power, or where the CDPP is considering seeking such an order, prosecutors should consult with their PTL</w:t>
      </w:r>
      <w:r w:rsidR="00FB5D5A">
        <w:t xml:space="preserve"> or</w:t>
      </w:r>
      <w:r w:rsidR="00DA3583">
        <w:t xml:space="preserve"> Branch Head</w:t>
      </w:r>
      <w:r w:rsidR="00FB5D5A">
        <w:t>,</w:t>
      </w:r>
      <w:r w:rsidR="00DA3583">
        <w:t xml:space="preserve"> </w:t>
      </w:r>
      <w:r w:rsidR="005412A0">
        <w:t xml:space="preserve">for referral to </w:t>
      </w:r>
      <w:r w:rsidR="00FB5D5A">
        <w:t xml:space="preserve">the </w:t>
      </w:r>
      <w:r w:rsidR="00DA3583">
        <w:t>Practice Group Leader</w:t>
      </w:r>
      <w:r w:rsidR="00FB5D5A">
        <w:t xml:space="preserve"> </w:t>
      </w:r>
      <w:r w:rsidR="005412A0">
        <w:t xml:space="preserve">who </w:t>
      </w:r>
      <w:r w:rsidR="00FB5D5A">
        <w:t>is the decision maker</w:t>
      </w:r>
      <w:r w:rsidR="00DA3583">
        <w:t xml:space="preserve">. Consideration should be given to the source and limits of the implied or inherent power. </w:t>
      </w:r>
    </w:p>
    <w:p w14:paraId="5DDE6B18" w14:textId="77777777" w:rsidR="00395B94" w:rsidRDefault="00395B94" w:rsidP="00395B94">
      <w:pPr>
        <w:pStyle w:val="Heading2"/>
        <w:numPr>
          <w:ilvl w:val="0"/>
          <w:numId w:val="14"/>
        </w:numPr>
        <w:rPr>
          <w:noProof/>
        </w:rPr>
      </w:pPr>
      <w:bookmarkStart w:id="8" w:name="_Toc58916919"/>
      <w:bookmarkStart w:id="9" w:name="_Toc64462155"/>
      <w:bookmarkEnd w:id="7"/>
      <w:r>
        <w:rPr>
          <w:noProof/>
        </w:rPr>
        <w:lastRenderedPageBreak/>
        <w:t>Relevant legislation</w:t>
      </w:r>
      <w:bookmarkEnd w:id="8"/>
      <w:bookmarkEnd w:id="9"/>
      <w:r>
        <w:rPr>
          <w:noProof/>
        </w:rPr>
        <w:t xml:space="preserve"> </w:t>
      </w:r>
    </w:p>
    <w:p w14:paraId="38BF6B7C" w14:textId="77777777" w:rsidR="000B4A60" w:rsidRPr="008A3AA6" w:rsidRDefault="00386ADE" w:rsidP="00905116">
      <w:pPr>
        <w:jc w:val="both"/>
        <w:rPr>
          <w:b/>
        </w:rPr>
      </w:pPr>
      <w:r>
        <w:rPr>
          <w:b/>
        </w:rPr>
        <w:t>State and Territory</w:t>
      </w:r>
    </w:p>
    <w:p w14:paraId="228B3FE0" w14:textId="77777777" w:rsidR="000B4A60" w:rsidRDefault="000B4A60" w:rsidP="00905116">
      <w:pPr>
        <w:jc w:val="both"/>
      </w:pPr>
      <w:r>
        <w:t>All States and Territories have legislation governing the use of suppression orders.</w:t>
      </w:r>
      <w:r>
        <w:rPr>
          <w:rStyle w:val="FootnoteReference"/>
        </w:rPr>
        <w:footnoteReference w:id="6"/>
      </w:r>
      <w:r>
        <w:t xml:space="preserve"> </w:t>
      </w:r>
      <w:r w:rsidR="00BA7843" w:rsidRPr="00196E2E">
        <w:t>Annexure E</w:t>
      </w:r>
      <w:r w:rsidR="00BA7843">
        <w:t xml:space="preserve"> of the Victims of Crime Manual has a list of the </w:t>
      </w:r>
      <w:r w:rsidR="00E54BCB">
        <w:t xml:space="preserve">relevant </w:t>
      </w:r>
      <w:r w:rsidR="00BA7843">
        <w:t>legislation in each State and Territory</w:t>
      </w:r>
      <w:r w:rsidR="00E54BCB">
        <w:t xml:space="preserve"> containing key provisions</w:t>
      </w:r>
      <w:r w:rsidR="00D84A95">
        <w:t xml:space="preserve"> that you are likely to encounter</w:t>
      </w:r>
      <w:r w:rsidR="00BA7843">
        <w:t xml:space="preserve">. </w:t>
      </w:r>
      <w:r w:rsidR="00D84A95">
        <w:t xml:space="preserve">These statutory powers are included in a range of different types of legislation, including State or Territory </w:t>
      </w:r>
      <w:r w:rsidR="00D84A95" w:rsidRPr="00892D38">
        <w:rPr>
          <w:i/>
        </w:rPr>
        <w:t>Evidence Acts</w:t>
      </w:r>
      <w:r w:rsidR="00D84A95">
        <w:t xml:space="preserve">, </w:t>
      </w:r>
      <w:r w:rsidR="00D84A95" w:rsidRPr="00C26657">
        <w:rPr>
          <w:i/>
        </w:rPr>
        <w:t>Bail Acts</w:t>
      </w:r>
      <w:r w:rsidR="00D84A95">
        <w:t>, or in legislation covering general criminal procedure, sexual offences, witness protection, youth justice, or vulnerable witnesses.</w:t>
      </w:r>
      <w:r w:rsidR="00D84A95">
        <w:rPr>
          <w:rStyle w:val="FootnoteReference"/>
        </w:rPr>
        <w:footnoteReference w:id="7"/>
      </w:r>
      <w:r w:rsidR="00D84A95">
        <w:t xml:space="preserve">  </w:t>
      </w:r>
      <w:r w:rsidRPr="000B4A60">
        <w:t xml:space="preserve">Suppression orders </w:t>
      </w:r>
      <w:r>
        <w:t xml:space="preserve">in Commonwealth matters </w:t>
      </w:r>
      <w:r w:rsidRPr="000B4A60">
        <w:t>will usually be m</w:t>
      </w:r>
      <w:r>
        <w:t xml:space="preserve">ade under </w:t>
      </w:r>
      <w:r w:rsidR="00D84A95">
        <w:t xml:space="preserve">such </w:t>
      </w:r>
      <w:r w:rsidR="00BA7843">
        <w:t xml:space="preserve">State or Territory </w:t>
      </w:r>
      <w:r>
        <w:t>legislation</w:t>
      </w:r>
      <w:r w:rsidR="00386ADE">
        <w:t>,</w:t>
      </w:r>
      <w:r>
        <w:t xml:space="preserve"> as </w:t>
      </w:r>
      <w:r w:rsidR="00386ADE">
        <w:t xml:space="preserve">Commonwealth </w:t>
      </w:r>
      <w:r w:rsidR="00892D38">
        <w:t xml:space="preserve">legislation </w:t>
      </w:r>
      <w:r w:rsidR="00935B53">
        <w:t>dealing with</w:t>
      </w:r>
      <w:r w:rsidR="00892D38">
        <w:t xml:space="preserve"> </w:t>
      </w:r>
      <w:r w:rsidR="00386ADE">
        <w:t>suppression order</w:t>
      </w:r>
      <w:r w:rsidR="00892D38">
        <w:t>s</w:t>
      </w:r>
      <w:r w:rsidR="00386ADE">
        <w:t xml:space="preserve"> is limited </w:t>
      </w:r>
      <w:r w:rsidR="00892D38">
        <w:t xml:space="preserve">in application </w:t>
      </w:r>
      <w:r w:rsidR="00386ADE">
        <w:t xml:space="preserve">to certain types of matters. </w:t>
      </w:r>
    </w:p>
    <w:p w14:paraId="531E4752" w14:textId="77777777" w:rsidR="003A262C" w:rsidRDefault="00935B53" w:rsidP="00905116">
      <w:pPr>
        <w:jc w:val="both"/>
      </w:pPr>
      <w:r>
        <w:t>R</w:t>
      </w:r>
      <w:r w:rsidR="004546EE">
        <w:t xml:space="preserve">elevant </w:t>
      </w:r>
      <w:r w:rsidR="006124C9">
        <w:t>c</w:t>
      </w:r>
      <w:r w:rsidR="00001FFB">
        <w:t>ourt</w:t>
      </w:r>
      <w:r>
        <w:t xml:space="preserve"> </w:t>
      </w:r>
      <w:r w:rsidR="004546EE">
        <w:t xml:space="preserve">Practice Directions in </w:t>
      </w:r>
      <w:r>
        <w:t>each</w:t>
      </w:r>
      <w:r w:rsidR="004546EE">
        <w:t xml:space="preserve"> State or Territory may </w:t>
      </w:r>
      <w:r>
        <w:t xml:space="preserve">also deal with </w:t>
      </w:r>
      <w:r w:rsidR="004546EE">
        <w:t xml:space="preserve">the procedure </w:t>
      </w:r>
      <w:r w:rsidR="004F3D38">
        <w:t>for</w:t>
      </w:r>
      <w:r w:rsidR="004546EE">
        <w:t xml:space="preserve"> s</w:t>
      </w:r>
      <w:r w:rsidR="004F3D38">
        <w:t>eeking s</w:t>
      </w:r>
      <w:r w:rsidR="004546EE">
        <w:t>uppression orders.</w:t>
      </w:r>
    </w:p>
    <w:p w14:paraId="4BA2F18D" w14:textId="77777777" w:rsidR="00F529A4" w:rsidRDefault="00F529A4" w:rsidP="00F529A4">
      <w:pPr>
        <w:spacing w:after="0"/>
        <w:jc w:val="both"/>
        <w:rPr>
          <w:rFonts w:cs="Calibri"/>
          <w:noProof/>
        </w:rPr>
      </w:pPr>
      <w:r>
        <w:rPr>
          <w:rFonts w:cs="Calibri"/>
          <w:noProof/>
        </w:rPr>
        <w:t xml:space="preserve">Suppression orders made under State or Territory legislation will </w:t>
      </w:r>
      <w:r w:rsidRPr="009B1D31">
        <w:rPr>
          <w:rFonts w:cs="Calibri"/>
          <w:noProof/>
        </w:rPr>
        <w:t>not</w:t>
      </w:r>
      <w:r>
        <w:rPr>
          <w:rFonts w:cs="Calibri"/>
          <w:noProof/>
        </w:rPr>
        <w:t xml:space="preserve"> usually have automatic effect in other jurisdictions, even where the </w:t>
      </w:r>
      <w:r w:rsidRPr="00E04330">
        <w:rPr>
          <w:rFonts w:cs="Calibri"/>
          <w:noProof/>
        </w:rPr>
        <w:t xml:space="preserve">State </w:t>
      </w:r>
      <w:r>
        <w:rPr>
          <w:rFonts w:cs="Calibri"/>
          <w:noProof/>
        </w:rPr>
        <w:t xml:space="preserve">or Territory </w:t>
      </w:r>
      <w:r w:rsidR="006124C9">
        <w:rPr>
          <w:rFonts w:cs="Calibri"/>
          <w:noProof/>
        </w:rPr>
        <w:t>c</w:t>
      </w:r>
      <w:r w:rsidR="00001FFB">
        <w:rPr>
          <w:rFonts w:cs="Calibri"/>
          <w:noProof/>
        </w:rPr>
        <w:t>ourt</w:t>
      </w:r>
      <w:r w:rsidRPr="00E04330">
        <w:rPr>
          <w:rFonts w:cs="Calibri"/>
          <w:noProof/>
        </w:rPr>
        <w:t xml:space="preserve"> </w:t>
      </w:r>
      <w:r>
        <w:rPr>
          <w:rFonts w:cs="Calibri"/>
          <w:noProof/>
        </w:rPr>
        <w:t xml:space="preserve">is </w:t>
      </w:r>
      <w:r w:rsidRPr="00E04330">
        <w:rPr>
          <w:rFonts w:cs="Calibri"/>
          <w:noProof/>
        </w:rPr>
        <w:t>exercising federal jurisdiction</w:t>
      </w:r>
      <w:r>
        <w:rPr>
          <w:rFonts w:cs="Calibri"/>
          <w:noProof/>
        </w:rPr>
        <w:t>.</w:t>
      </w:r>
      <w:r>
        <w:rPr>
          <w:rStyle w:val="FootnoteReference"/>
          <w:rFonts w:cs="Calibri"/>
          <w:noProof/>
        </w:rPr>
        <w:footnoteReference w:id="8"/>
      </w:r>
      <w:r>
        <w:rPr>
          <w:rFonts w:cs="Calibri"/>
          <w:noProof/>
        </w:rPr>
        <w:t xml:space="preserve"> For this reason, prosecutors should consult the relevant State or Territory legislation </w:t>
      </w:r>
      <w:r w:rsidR="00B1404A">
        <w:rPr>
          <w:rFonts w:cs="Calibri"/>
          <w:noProof/>
        </w:rPr>
        <w:t xml:space="preserve">to ascertain whether it provides for </w:t>
      </w:r>
      <w:r>
        <w:rPr>
          <w:rFonts w:cs="Calibri"/>
          <w:noProof/>
        </w:rPr>
        <w:t xml:space="preserve"> extra-territorial</w:t>
      </w:r>
      <w:r w:rsidR="00935B53">
        <w:rPr>
          <w:rFonts w:cs="Calibri"/>
          <w:noProof/>
        </w:rPr>
        <w:t xml:space="preserve"> application</w:t>
      </w:r>
      <w:r>
        <w:rPr>
          <w:rFonts w:cs="Calibri"/>
          <w:noProof/>
        </w:rPr>
        <w:t>.</w:t>
      </w:r>
      <w:r w:rsidR="00325BC6">
        <w:rPr>
          <w:rStyle w:val="FootnoteReference"/>
          <w:rFonts w:cs="Calibri"/>
          <w:noProof/>
        </w:rPr>
        <w:footnoteReference w:id="9"/>
      </w:r>
      <w:r>
        <w:rPr>
          <w:rFonts w:cs="Calibri"/>
          <w:noProof/>
        </w:rPr>
        <w:t xml:space="preserve"> </w:t>
      </w:r>
      <w:r w:rsidR="00222783">
        <w:rPr>
          <w:rFonts w:cs="Calibri"/>
          <w:noProof/>
        </w:rPr>
        <w:t>I</w:t>
      </w:r>
      <w:r>
        <w:rPr>
          <w:rFonts w:cs="Calibri"/>
          <w:noProof/>
        </w:rPr>
        <w:t xml:space="preserve">n cases where State or Territory legislation does not provide for extra-territoriality and where there is a risk of information being disseminated by the media in other jursidictions (for example, a prosecution </w:t>
      </w:r>
      <w:r w:rsidR="00935B53">
        <w:rPr>
          <w:rFonts w:cs="Calibri"/>
          <w:noProof/>
        </w:rPr>
        <w:t>likely to attract</w:t>
      </w:r>
      <w:r>
        <w:rPr>
          <w:rFonts w:cs="Calibri"/>
          <w:noProof/>
        </w:rPr>
        <w:t xml:space="preserve"> national media </w:t>
      </w:r>
      <w:r w:rsidR="00222783">
        <w:rPr>
          <w:rFonts w:cs="Calibri"/>
          <w:noProof/>
        </w:rPr>
        <w:t xml:space="preserve">interest), prosecutors should consider whether a suppression order can be made under Commonwealth legislation. </w:t>
      </w:r>
    </w:p>
    <w:p w14:paraId="4519831E" w14:textId="77777777" w:rsidR="007C5773" w:rsidRDefault="00386ADE" w:rsidP="00F529A4">
      <w:pPr>
        <w:spacing w:after="0"/>
        <w:jc w:val="both"/>
        <w:rPr>
          <w:b/>
        </w:rPr>
      </w:pPr>
      <w:r>
        <w:rPr>
          <w:b/>
        </w:rPr>
        <w:t>Commonwealth</w:t>
      </w:r>
    </w:p>
    <w:p w14:paraId="7EC7E804" w14:textId="77777777" w:rsidR="00CD066B" w:rsidRPr="00CD066B" w:rsidRDefault="00CD066B" w:rsidP="00905116">
      <w:pPr>
        <w:jc w:val="both"/>
      </w:pPr>
      <w:r w:rsidRPr="00CD066B">
        <w:t>Commonwealth</w:t>
      </w:r>
      <w:r>
        <w:t xml:space="preserve"> </w:t>
      </w:r>
      <w:r w:rsidR="00A04B02">
        <w:t xml:space="preserve">provisions </w:t>
      </w:r>
      <w:r>
        <w:t>provid</w:t>
      </w:r>
      <w:r w:rsidR="00A04B02">
        <w:t xml:space="preserve">ing for </w:t>
      </w:r>
      <w:r>
        <w:t>suppression orders</w:t>
      </w:r>
      <w:r w:rsidR="00A04B02">
        <w:t xml:space="preserve"> include the following:</w:t>
      </w:r>
    </w:p>
    <w:p w14:paraId="561CE4A7" w14:textId="77777777" w:rsidR="00E841BD" w:rsidRDefault="008A3AA6" w:rsidP="00E841BD">
      <w:pPr>
        <w:numPr>
          <w:ilvl w:val="0"/>
          <w:numId w:val="15"/>
        </w:numPr>
        <w:jc w:val="both"/>
      </w:pPr>
      <w:r w:rsidRPr="00892D38">
        <w:rPr>
          <w:i/>
        </w:rPr>
        <w:t>Crimes Act 1914</w:t>
      </w:r>
      <w:r w:rsidRPr="00892D38">
        <w:t xml:space="preserve"> (</w:t>
      </w:r>
      <w:proofErr w:type="spellStart"/>
      <w:r w:rsidRPr="00892D38">
        <w:t>Cth</w:t>
      </w:r>
      <w:proofErr w:type="spellEnd"/>
      <w:r w:rsidRPr="00892D38">
        <w:t xml:space="preserve">) </w:t>
      </w:r>
      <w:r w:rsidR="00C25538">
        <w:t>s</w:t>
      </w:r>
      <w:r w:rsidR="00E841BD" w:rsidRPr="00E841BD">
        <w:t>15</w:t>
      </w:r>
      <w:proofErr w:type="gramStart"/>
      <w:r w:rsidR="00E841BD" w:rsidRPr="00E841BD">
        <w:t>MM</w:t>
      </w:r>
      <w:r w:rsidR="00E841BD">
        <w:t>(</w:t>
      </w:r>
      <w:proofErr w:type="gramEnd"/>
      <w:r w:rsidR="00E841BD">
        <w:t>8)</w:t>
      </w:r>
      <w:r w:rsidR="00E841BD" w:rsidRPr="00E841BD">
        <w:t xml:space="preserve"> </w:t>
      </w:r>
      <w:r w:rsidR="00E841BD">
        <w:t xml:space="preserve">– applies to proceedings involving witnesses who are </w:t>
      </w:r>
      <w:r w:rsidR="00DB734C">
        <w:t>p</w:t>
      </w:r>
      <w:r w:rsidR="007D1515">
        <w:t xml:space="preserve">olice </w:t>
      </w:r>
      <w:r w:rsidR="00E841BD">
        <w:t xml:space="preserve">operatives </w:t>
      </w:r>
      <w:r w:rsidR="007D1515">
        <w:t xml:space="preserve">and who are </w:t>
      </w:r>
      <w:r w:rsidR="00E841BD">
        <w:t xml:space="preserve">protected under a </w:t>
      </w:r>
      <w:r w:rsidR="00E841BD" w:rsidRPr="00E841BD">
        <w:t>witness identity protection certificate</w:t>
      </w:r>
      <w:r w:rsidR="00E841BD">
        <w:t>.</w:t>
      </w:r>
    </w:p>
    <w:p w14:paraId="2D7CB69B" w14:textId="77777777" w:rsidR="008A3AA6" w:rsidRDefault="008A3AA6" w:rsidP="00E841BD">
      <w:pPr>
        <w:numPr>
          <w:ilvl w:val="0"/>
          <w:numId w:val="15"/>
        </w:numPr>
        <w:jc w:val="both"/>
      </w:pPr>
      <w:r w:rsidRPr="00892D38">
        <w:rPr>
          <w:i/>
        </w:rPr>
        <w:t>Criminal Code</w:t>
      </w:r>
      <w:r w:rsidRPr="00892D38">
        <w:t xml:space="preserve"> (</w:t>
      </w:r>
      <w:proofErr w:type="spellStart"/>
      <w:r w:rsidRPr="00892D38">
        <w:t>Cth</w:t>
      </w:r>
      <w:proofErr w:type="spellEnd"/>
      <w:r w:rsidRPr="00892D38">
        <w:t>)</w:t>
      </w:r>
      <w:r w:rsidRPr="008A3AA6">
        <w:t xml:space="preserve"> </w:t>
      </w:r>
      <w:r w:rsidR="00E841BD">
        <w:t>s</w:t>
      </w:r>
      <w:r w:rsidR="00E841BD" w:rsidRPr="008A3AA6">
        <w:t xml:space="preserve">93.2 </w:t>
      </w:r>
      <w:r w:rsidR="00E841BD">
        <w:t>– applies</w:t>
      </w:r>
      <w:r w:rsidR="00386ADE">
        <w:t xml:space="preserve"> to </w:t>
      </w:r>
      <w:r w:rsidR="00003C0B">
        <w:t xml:space="preserve">proceedings </w:t>
      </w:r>
      <w:r w:rsidR="00136DFE">
        <w:t xml:space="preserve">where suppression is </w:t>
      </w:r>
      <w:r w:rsidR="00136DFE" w:rsidRPr="00136DFE">
        <w:t>in the interests of Australia's national security</w:t>
      </w:r>
      <w:r w:rsidR="00386ADE">
        <w:t>.</w:t>
      </w:r>
      <w:r>
        <w:rPr>
          <w:rStyle w:val="FootnoteReference"/>
        </w:rPr>
        <w:footnoteReference w:id="10"/>
      </w:r>
    </w:p>
    <w:p w14:paraId="24762D47" w14:textId="77777777" w:rsidR="008812F0" w:rsidRDefault="008812F0" w:rsidP="00905116">
      <w:pPr>
        <w:numPr>
          <w:ilvl w:val="0"/>
          <w:numId w:val="15"/>
        </w:numPr>
        <w:jc w:val="both"/>
      </w:pPr>
      <w:r w:rsidRPr="00892D38">
        <w:rPr>
          <w:i/>
        </w:rPr>
        <w:t xml:space="preserve">Federal </w:t>
      </w:r>
      <w:r w:rsidR="00001FFB">
        <w:rPr>
          <w:i/>
        </w:rPr>
        <w:t>Court</w:t>
      </w:r>
      <w:r w:rsidRPr="00892D38">
        <w:rPr>
          <w:i/>
        </w:rPr>
        <w:t xml:space="preserve"> Act 1976</w:t>
      </w:r>
      <w:r>
        <w:t xml:space="preserve"> (</w:t>
      </w:r>
      <w:proofErr w:type="spellStart"/>
      <w:r>
        <w:t>Cth</w:t>
      </w:r>
      <w:proofErr w:type="spellEnd"/>
      <w:r>
        <w:t xml:space="preserve">) </w:t>
      </w:r>
      <w:r w:rsidRPr="007C5773">
        <w:t>Pa</w:t>
      </w:r>
      <w:r w:rsidR="00B62201">
        <w:t xml:space="preserve">rt VAA </w:t>
      </w:r>
      <w:r>
        <w:t>“</w:t>
      </w:r>
      <w:r w:rsidRPr="007C5773">
        <w:t>Suppression and non</w:t>
      </w:r>
      <w:r w:rsidRPr="007C5773">
        <w:rPr>
          <w:rFonts w:ascii="Cambria Math" w:hAnsi="Cambria Math" w:cs="Cambria Math"/>
        </w:rPr>
        <w:t>‑</w:t>
      </w:r>
      <w:r w:rsidRPr="007C5773">
        <w:t>publication orders</w:t>
      </w:r>
      <w:r>
        <w:t>” – appli</w:t>
      </w:r>
      <w:r w:rsidR="00AE7AAC">
        <w:t xml:space="preserve">es in Federal </w:t>
      </w:r>
      <w:r w:rsidR="00001FFB">
        <w:t>Court</w:t>
      </w:r>
      <w:r w:rsidR="00AE7AAC">
        <w:t xml:space="preserve"> proceedings. See also </w:t>
      </w:r>
      <w:r w:rsidR="00AE7AAC" w:rsidRPr="00AE7AAC">
        <w:rPr>
          <w:i/>
        </w:rPr>
        <w:t xml:space="preserve">Federal Circuit </w:t>
      </w:r>
      <w:r w:rsidR="00001FFB">
        <w:rPr>
          <w:i/>
        </w:rPr>
        <w:t>Court</w:t>
      </w:r>
      <w:r w:rsidR="00AE7AAC" w:rsidRPr="00AE7AAC">
        <w:rPr>
          <w:i/>
        </w:rPr>
        <w:t xml:space="preserve"> of Australia Act 1999</w:t>
      </w:r>
      <w:r w:rsidR="00AE7AAC">
        <w:t xml:space="preserve"> (</w:t>
      </w:r>
      <w:proofErr w:type="spellStart"/>
      <w:r w:rsidR="00AE7AAC">
        <w:t>Cth</w:t>
      </w:r>
      <w:proofErr w:type="spellEnd"/>
      <w:r w:rsidR="00AE7AAC">
        <w:t>) – Part 6A - applies in</w:t>
      </w:r>
      <w:r w:rsidR="00AE7AAC" w:rsidRPr="00AE7AAC">
        <w:t xml:space="preserve"> Federal Circuit </w:t>
      </w:r>
      <w:r w:rsidR="00001FFB">
        <w:t>Court</w:t>
      </w:r>
      <w:r w:rsidR="00AE7AAC" w:rsidRPr="00AE7AAC">
        <w:t xml:space="preserve"> of Australia</w:t>
      </w:r>
      <w:r w:rsidR="00AE7AAC">
        <w:t xml:space="preserve"> proceedings.</w:t>
      </w:r>
    </w:p>
    <w:p w14:paraId="64B3D5E1" w14:textId="77777777" w:rsidR="00B62201" w:rsidRDefault="00B62201" w:rsidP="00B62201">
      <w:pPr>
        <w:numPr>
          <w:ilvl w:val="0"/>
          <w:numId w:val="15"/>
        </w:numPr>
        <w:jc w:val="both"/>
      </w:pPr>
      <w:r w:rsidRPr="00B62201">
        <w:rPr>
          <w:i/>
        </w:rPr>
        <w:t>Judiciary Act 1903</w:t>
      </w:r>
      <w:r>
        <w:t xml:space="preserve"> (</w:t>
      </w:r>
      <w:proofErr w:type="spellStart"/>
      <w:r>
        <w:t>Cth</w:t>
      </w:r>
      <w:proofErr w:type="spellEnd"/>
      <w:r>
        <w:t>) – Part XAA “Suppression a</w:t>
      </w:r>
      <w:r w:rsidRPr="00B62201">
        <w:t>nd Non-Publication Orders</w:t>
      </w:r>
      <w:r>
        <w:t xml:space="preserve">” – applies in High </w:t>
      </w:r>
      <w:r w:rsidR="00001FFB">
        <w:t>Court</w:t>
      </w:r>
      <w:r>
        <w:t xml:space="preserve"> proceedings. </w:t>
      </w:r>
    </w:p>
    <w:p w14:paraId="3F267FC1" w14:textId="699FA33E" w:rsidR="00374708" w:rsidRPr="008F0014" w:rsidRDefault="008812F0" w:rsidP="00374708">
      <w:pPr>
        <w:numPr>
          <w:ilvl w:val="0"/>
          <w:numId w:val="15"/>
        </w:numPr>
        <w:jc w:val="both"/>
      </w:pPr>
      <w:r w:rsidRPr="00374708">
        <w:rPr>
          <w:i/>
        </w:rPr>
        <w:t>Director of Public Prosecutions Act 1983</w:t>
      </w:r>
      <w:r>
        <w:t xml:space="preserve"> (</w:t>
      </w:r>
      <w:proofErr w:type="spellStart"/>
      <w:r>
        <w:t>Cth</w:t>
      </w:r>
      <w:proofErr w:type="spellEnd"/>
      <w:r>
        <w:t xml:space="preserve">) – </w:t>
      </w:r>
      <w:r w:rsidR="00C25538">
        <w:t>s</w:t>
      </w:r>
      <w:r w:rsidRPr="008A3AA6">
        <w:t xml:space="preserve">16A </w:t>
      </w:r>
      <w:r>
        <w:t>“</w:t>
      </w:r>
      <w:r w:rsidRPr="008A3AA6">
        <w:t>Prohibition of publication of evidence etc. in certain proceedings</w:t>
      </w:r>
      <w:r>
        <w:t xml:space="preserve">” – applies in certain </w:t>
      </w:r>
      <w:r w:rsidR="007D1515">
        <w:t>proceedings for civil remedies, recovery of pecuniary penalties,</w:t>
      </w:r>
      <w:r>
        <w:t xml:space="preserve"> and proceeds of crime.</w:t>
      </w:r>
    </w:p>
    <w:p w14:paraId="2A9B892A" w14:textId="58F16116" w:rsidR="008A3AA6" w:rsidRDefault="008A3AA6" w:rsidP="00374708">
      <w:pPr>
        <w:numPr>
          <w:ilvl w:val="0"/>
          <w:numId w:val="15"/>
        </w:numPr>
        <w:jc w:val="both"/>
      </w:pPr>
      <w:r w:rsidRPr="00374708">
        <w:rPr>
          <w:i/>
        </w:rPr>
        <w:t>Service and Execution of Process Act 1992</w:t>
      </w:r>
      <w:r w:rsidRPr="008A3AA6">
        <w:t xml:space="preserve"> (</w:t>
      </w:r>
      <w:proofErr w:type="spellStart"/>
      <w:r w:rsidRPr="008A3AA6">
        <w:t>Cth</w:t>
      </w:r>
      <w:proofErr w:type="spellEnd"/>
      <w:r w:rsidRPr="008A3AA6">
        <w:t>)</w:t>
      </w:r>
      <w:r>
        <w:t xml:space="preserve"> – </w:t>
      </w:r>
      <w:r w:rsidR="00D83225">
        <w:t>Part 5, Division 3</w:t>
      </w:r>
      <w:r>
        <w:t xml:space="preserve"> </w:t>
      </w:r>
      <w:r w:rsidR="00D83225">
        <w:t>(</w:t>
      </w:r>
      <w:r>
        <w:t>“</w:t>
      </w:r>
      <w:r w:rsidRPr="008A3AA6">
        <w:t>Suppression orders</w:t>
      </w:r>
      <w:r>
        <w:t>”</w:t>
      </w:r>
      <w:r w:rsidR="00D83225">
        <w:t>)</w:t>
      </w:r>
      <w:r>
        <w:t xml:space="preserve"> – applies where certain persons are apprehended on a warrant and brought before the </w:t>
      </w:r>
      <w:r w:rsidR="00001FFB">
        <w:t>Court</w:t>
      </w:r>
      <w:r w:rsidR="00D83225">
        <w:t xml:space="preserve"> (interstate extradition matters)</w:t>
      </w:r>
      <w:r>
        <w:t>.</w:t>
      </w:r>
    </w:p>
    <w:p w14:paraId="2BE9DABD" w14:textId="77777777" w:rsidR="008812F0" w:rsidRDefault="008812F0" w:rsidP="00905116">
      <w:pPr>
        <w:numPr>
          <w:ilvl w:val="0"/>
          <w:numId w:val="15"/>
        </w:numPr>
        <w:jc w:val="both"/>
      </w:pPr>
      <w:r w:rsidRPr="008812F0">
        <w:rPr>
          <w:i/>
        </w:rPr>
        <w:lastRenderedPageBreak/>
        <w:t>National Security Information (Criminal and Civil Proceedings) Act 2004</w:t>
      </w:r>
      <w:r>
        <w:t xml:space="preserve"> (</w:t>
      </w:r>
      <w:proofErr w:type="spellStart"/>
      <w:r>
        <w:t>Cth</w:t>
      </w:r>
      <w:proofErr w:type="spellEnd"/>
      <w:r>
        <w:t xml:space="preserve">) – regulates </w:t>
      </w:r>
      <w:r w:rsidRPr="008812F0">
        <w:t xml:space="preserve">disclosure of information in federal criminal proceedings </w:t>
      </w:r>
      <w:r>
        <w:t>(</w:t>
      </w:r>
      <w:r w:rsidRPr="008812F0">
        <w:t>and civil proceedings</w:t>
      </w:r>
      <w:r>
        <w:t>)</w:t>
      </w:r>
      <w:r w:rsidRPr="008812F0">
        <w:t xml:space="preserve"> where the disclosure is likely to prejudice national security</w:t>
      </w:r>
      <w:r w:rsidR="00136DFE">
        <w:t xml:space="preserve">, </w:t>
      </w:r>
      <w:proofErr w:type="spellStart"/>
      <w:r w:rsidR="00136DFE">
        <w:t>e.g</w:t>
      </w:r>
      <w:proofErr w:type="spellEnd"/>
      <w:r w:rsidR="00136DFE">
        <w:t xml:space="preserve"> </w:t>
      </w:r>
      <w:r w:rsidR="0087555B">
        <w:t xml:space="preserve">certain </w:t>
      </w:r>
      <w:r w:rsidR="003214E1">
        <w:t>counter-</w:t>
      </w:r>
      <w:r w:rsidR="00136DFE">
        <w:t xml:space="preserve">terrorism prosecutions. </w:t>
      </w:r>
    </w:p>
    <w:p w14:paraId="45794D44" w14:textId="77777777" w:rsidR="00500CBE" w:rsidRPr="00500CBE" w:rsidRDefault="00500CBE" w:rsidP="00500CBE">
      <w:pPr>
        <w:spacing w:after="0"/>
        <w:jc w:val="both"/>
        <w:rPr>
          <w:rFonts w:cs="Calibri"/>
          <w:b/>
          <w:noProof/>
        </w:rPr>
      </w:pPr>
      <w:r>
        <w:rPr>
          <w:rFonts w:cs="Calibri"/>
          <w:b/>
          <w:noProof/>
        </w:rPr>
        <w:t>A</w:t>
      </w:r>
      <w:r w:rsidRPr="00500CBE">
        <w:rPr>
          <w:rFonts w:cs="Calibri"/>
          <w:b/>
          <w:noProof/>
        </w:rPr>
        <w:t xml:space="preserve">utomatic </w:t>
      </w:r>
      <w:r w:rsidR="00E841BD">
        <w:rPr>
          <w:rFonts w:cs="Calibri"/>
          <w:b/>
          <w:noProof/>
        </w:rPr>
        <w:t xml:space="preserve">statutory </w:t>
      </w:r>
      <w:r w:rsidR="00483FD7" w:rsidRPr="00500CBE">
        <w:rPr>
          <w:rFonts w:cs="Calibri"/>
          <w:b/>
          <w:noProof/>
        </w:rPr>
        <w:t>protection</w:t>
      </w:r>
      <w:r w:rsidR="00C9483E">
        <w:rPr>
          <w:rFonts w:cs="Calibri"/>
          <w:b/>
          <w:noProof/>
        </w:rPr>
        <w:t>s</w:t>
      </w:r>
      <w:r w:rsidR="00483FD7" w:rsidRPr="00500CBE">
        <w:rPr>
          <w:rFonts w:cs="Calibri"/>
          <w:b/>
          <w:noProof/>
        </w:rPr>
        <w:t xml:space="preserve"> </w:t>
      </w:r>
    </w:p>
    <w:p w14:paraId="599603EA" w14:textId="77777777" w:rsidR="00EC5788" w:rsidRPr="00500CBE" w:rsidRDefault="00500CBE" w:rsidP="00EC5788">
      <w:pPr>
        <w:jc w:val="both"/>
      </w:pPr>
      <w:r>
        <w:rPr>
          <w:rFonts w:cs="Calibri"/>
          <w:noProof/>
        </w:rPr>
        <w:t xml:space="preserve">Certain statutory </w:t>
      </w:r>
      <w:r w:rsidR="00C9483E">
        <w:rPr>
          <w:rFonts w:cs="Calibri"/>
          <w:noProof/>
        </w:rPr>
        <w:t>provisions</w:t>
      </w:r>
      <w:r>
        <w:rPr>
          <w:rFonts w:cs="Calibri"/>
          <w:noProof/>
        </w:rPr>
        <w:t xml:space="preserve"> automatically prevent </w:t>
      </w:r>
      <w:r w:rsidR="00E841BD">
        <w:rPr>
          <w:rFonts w:cs="Calibri"/>
          <w:noProof/>
        </w:rPr>
        <w:t xml:space="preserve">the </w:t>
      </w:r>
      <w:r>
        <w:rPr>
          <w:rFonts w:cs="Calibri"/>
          <w:noProof/>
        </w:rPr>
        <w:t xml:space="preserve">publication of </w:t>
      </w:r>
      <w:r w:rsidRPr="00500CBE">
        <w:rPr>
          <w:rFonts w:cs="Calibri"/>
          <w:noProof/>
        </w:rPr>
        <w:t>information in particular circumstances</w:t>
      </w:r>
      <w:r w:rsidR="00A04B02">
        <w:rPr>
          <w:rFonts w:cs="Calibri"/>
          <w:noProof/>
        </w:rPr>
        <w:t>, without the need for an application for a su</w:t>
      </w:r>
      <w:r w:rsidR="001B1847">
        <w:rPr>
          <w:rFonts w:cs="Calibri"/>
          <w:noProof/>
        </w:rPr>
        <w:t>p</w:t>
      </w:r>
      <w:r w:rsidR="00A04B02">
        <w:rPr>
          <w:rFonts w:cs="Calibri"/>
          <w:noProof/>
        </w:rPr>
        <w:t>pression order</w:t>
      </w:r>
      <w:r w:rsidR="00EC5788">
        <w:rPr>
          <w:rFonts w:cs="Calibri"/>
          <w:noProof/>
        </w:rPr>
        <w:t>.</w:t>
      </w:r>
      <w:r w:rsidR="001B1847">
        <w:rPr>
          <w:rFonts w:cs="Calibri"/>
          <w:noProof/>
        </w:rPr>
        <w:t xml:space="preserve"> </w:t>
      </w:r>
      <w:r w:rsidR="00EC5788">
        <w:rPr>
          <w:rFonts w:cs="Calibri"/>
          <w:noProof/>
        </w:rPr>
        <w:t>F</w:t>
      </w:r>
      <w:r>
        <w:rPr>
          <w:rFonts w:cs="Calibri"/>
          <w:noProof/>
        </w:rPr>
        <w:t xml:space="preserve">or example, </w:t>
      </w:r>
      <w:r w:rsidR="00EC5788">
        <w:t>child witnesses, child complainants, and vulnerable adult complainants</w:t>
      </w:r>
      <w:r w:rsidR="00EC5788">
        <w:rPr>
          <w:rFonts w:cs="Calibri"/>
          <w:noProof/>
        </w:rPr>
        <w:t xml:space="preserve"> are protected under section </w:t>
      </w:r>
      <w:r w:rsidR="00EC5788">
        <w:t>15</w:t>
      </w:r>
      <w:r w:rsidR="00EC5788" w:rsidRPr="00892D38">
        <w:t>YR</w:t>
      </w:r>
      <w:r w:rsidR="00EC5788">
        <w:t xml:space="preserve"> of the </w:t>
      </w:r>
      <w:r w:rsidR="00EC5788" w:rsidRPr="00EC5788">
        <w:rPr>
          <w:i/>
        </w:rPr>
        <w:t>Crimes Act</w:t>
      </w:r>
      <w:r w:rsidR="00EC5788">
        <w:t xml:space="preserve"> (</w:t>
      </w:r>
      <w:proofErr w:type="spellStart"/>
      <w:r w:rsidR="00EC5788">
        <w:t>Cth</w:t>
      </w:r>
      <w:proofErr w:type="spellEnd"/>
      <w:r w:rsidR="00EC5788">
        <w:t xml:space="preserve">), which prohibits publication of their identity in prosecutions for certain offences </w:t>
      </w:r>
      <w:r w:rsidR="00D37C23">
        <w:t>including but not limited to</w:t>
      </w:r>
      <w:r w:rsidR="00EC5788">
        <w:t xml:space="preserve"> slavery, trafficking, and child sex offences</w:t>
      </w:r>
      <w:r w:rsidR="00A04B02">
        <w:t xml:space="preserve">, unless leave of the </w:t>
      </w:r>
      <w:r w:rsidR="001B1847">
        <w:t>c</w:t>
      </w:r>
      <w:r w:rsidR="00001FFB">
        <w:t>ourt</w:t>
      </w:r>
      <w:r w:rsidR="00A04B02">
        <w:t xml:space="preserve"> is g</w:t>
      </w:r>
      <w:r w:rsidR="001B1847">
        <w:t>ranted</w:t>
      </w:r>
      <w:r w:rsidR="00EC5788">
        <w:t>.</w:t>
      </w:r>
      <w:r w:rsidR="00EC5788">
        <w:rPr>
          <w:rStyle w:val="FootnoteReference"/>
        </w:rPr>
        <w:footnoteReference w:id="11"/>
      </w:r>
      <w:r w:rsidR="003E7D02">
        <w:t xml:space="preserve"> </w:t>
      </w:r>
    </w:p>
    <w:p w14:paraId="6B211C85" w14:textId="77777777" w:rsidR="00500CBE" w:rsidRDefault="00500CBE" w:rsidP="00500CBE">
      <w:pPr>
        <w:spacing w:after="0"/>
        <w:jc w:val="both"/>
        <w:rPr>
          <w:rFonts w:cs="Calibri"/>
          <w:noProof/>
        </w:rPr>
      </w:pPr>
      <w:r>
        <w:rPr>
          <w:rFonts w:cs="Calibri"/>
          <w:noProof/>
        </w:rPr>
        <w:t xml:space="preserve">Before applying for a suppression order, prosecutors should consider the scope of any existing automatic </w:t>
      </w:r>
      <w:r w:rsidR="00D37C23">
        <w:rPr>
          <w:rFonts w:cs="Calibri"/>
          <w:noProof/>
        </w:rPr>
        <w:t xml:space="preserve">statutory </w:t>
      </w:r>
      <w:r w:rsidR="00222783">
        <w:rPr>
          <w:rFonts w:cs="Calibri"/>
          <w:noProof/>
        </w:rPr>
        <w:t>protections</w:t>
      </w:r>
      <w:r w:rsidR="00DB734C">
        <w:rPr>
          <w:rFonts w:cs="Calibri"/>
          <w:noProof/>
        </w:rPr>
        <w:t>, as an application for an order may be unnecessary</w:t>
      </w:r>
      <w:r w:rsidR="00222783">
        <w:rPr>
          <w:rFonts w:cs="Calibri"/>
          <w:noProof/>
        </w:rPr>
        <w:t>.</w:t>
      </w:r>
    </w:p>
    <w:p w14:paraId="70500576" w14:textId="77777777" w:rsidR="003A4D78" w:rsidRPr="003A4D78" w:rsidRDefault="003A4D78" w:rsidP="00500CBE">
      <w:pPr>
        <w:spacing w:after="0"/>
        <w:jc w:val="both"/>
        <w:rPr>
          <w:rFonts w:cs="Calibri"/>
          <w:b/>
          <w:noProof/>
        </w:rPr>
      </w:pPr>
      <w:r w:rsidRPr="003A4D78">
        <w:rPr>
          <w:rFonts w:cs="Calibri"/>
          <w:b/>
          <w:noProof/>
        </w:rPr>
        <w:t xml:space="preserve">Suppression orders in </w:t>
      </w:r>
      <w:r w:rsidR="00A04B02">
        <w:rPr>
          <w:rFonts w:cs="Calibri"/>
          <w:b/>
          <w:noProof/>
        </w:rPr>
        <w:t xml:space="preserve">different </w:t>
      </w:r>
      <w:r w:rsidR="00001FFB">
        <w:rPr>
          <w:rFonts w:cs="Calibri"/>
          <w:b/>
          <w:noProof/>
        </w:rPr>
        <w:t>court</w:t>
      </w:r>
      <w:r w:rsidR="00A04B02">
        <w:rPr>
          <w:rFonts w:cs="Calibri"/>
          <w:b/>
          <w:noProof/>
        </w:rPr>
        <w:t>s</w:t>
      </w:r>
    </w:p>
    <w:p w14:paraId="48EE767A" w14:textId="77777777" w:rsidR="00E03594" w:rsidRDefault="003D5E49" w:rsidP="00500CBE">
      <w:pPr>
        <w:spacing w:after="0"/>
        <w:jc w:val="both"/>
        <w:rPr>
          <w:rFonts w:cs="Calibri"/>
          <w:noProof/>
        </w:rPr>
      </w:pPr>
      <w:r>
        <w:rPr>
          <w:rFonts w:cs="Calibri"/>
          <w:noProof/>
        </w:rPr>
        <w:t>F</w:t>
      </w:r>
      <w:r w:rsidR="003A4D78">
        <w:rPr>
          <w:rFonts w:cs="Calibri"/>
          <w:noProof/>
        </w:rPr>
        <w:t xml:space="preserve">resh suppression orders may be required at different stages </w:t>
      </w:r>
      <w:r w:rsidR="00B62201">
        <w:rPr>
          <w:rFonts w:cs="Calibri"/>
          <w:noProof/>
        </w:rPr>
        <w:t xml:space="preserve">as the matter proceeds between </w:t>
      </w:r>
      <w:r w:rsidR="001B1847">
        <w:rPr>
          <w:rFonts w:cs="Calibri"/>
          <w:noProof/>
        </w:rPr>
        <w:t>court</w:t>
      </w:r>
      <w:r w:rsidR="00B62201">
        <w:rPr>
          <w:rFonts w:cs="Calibri"/>
          <w:noProof/>
        </w:rPr>
        <w:t>s</w:t>
      </w:r>
      <w:r w:rsidR="003A4D78">
        <w:rPr>
          <w:rFonts w:cs="Calibri"/>
          <w:noProof/>
        </w:rPr>
        <w:t xml:space="preserve">, including upon </w:t>
      </w:r>
      <w:r w:rsidR="003E25C8">
        <w:rPr>
          <w:rFonts w:cs="Calibri"/>
          <w:noProof/>
        </w:rPr>
        <w:t xml:space="preserve">a party </w:t>
      </w:r>
      <w:r w:rsidR="00B62201">
        <w:rPr>
          <w:rFonts w:cs="Calibri"/>
          <w:noProof/>
        </w:rPr>
        <w:t xml:space="preserve">filing </w:t>
      </w:r>
      <w:r w:rsidR="003E25C8">
        <w:rPr>
          <w:rFonts w:cs="Calibri"/>
          <w:noProof/>
        </w:rPr>
        <w:t xml:space="preserve">an application for </w:t>
      </w:r>
      <w:r w:rsidR="00B62201">
        <w:rPr>
          <w:rFonts w:cs="Calibri"/>
          <w:noProof/>
        </w:rPr>
        <w:t>special leave to appeal</w:t>
      </w:r>
      <w:r w:rsidR="003A4D78">
        <w:rPr>
          <w:rFonts w:cs="Calibri"/>
          <w:noProof/>
        </w:rPr>
        <w:t xml:space="preserve"> to the High </w:t>
      </w:r>
      <w:r w:rsidR="00001FFB">
        <w:rPr>
          <w:rFonts w:cs="Calibri"/>
          <w:noProof/>
        </w:rPr>
        <w:t>Court</w:t>
      </w:r>
      <w:r w:rsidR="003A4D78">
        <w:rPr>
          <w:rFonts w:cs="Calibri"/>
          <w:noProof/>
        </w:rPr>
        <w:t>.</w:t>
      </w:r>
      <w:r w:rsidR="003A4D78">
        <w:rPr>
          <w:rStyle w:val="FootnoteReference"/>
          <w:rFonts w:cs="Calibri"/>
          <w:noProof/>
        </w:rPr>
        <w:footnoteReference w:id="12"/>
      </w:r>
      <w:r w:rsidR="003A4D78">
        <w:rPr>
          <w:rFonts w:cs="Calibri"/>
          <w:noProof/>
        </w:rPr>
        <w:t xml:space="preserve"> </w:t>
      </w:r>
      <w:r w:rsidR="00E67796">
        <w:rPr>
          <w:rFonts w:cs="Calibri"/>
          <w:noProof/>
        </w:rPr>
        <w:t xml:space="preserve">It should not be assumed that a suppression order made in a lower </w:t>
      </w:r>
      <w:r w:rsidR="001B1847">
        <w:rPr>
          <w:rFonts w:cs="Calibri"/>
          <w:noProof/>
        </w:rPr>
        <w:t>c</w:t>
      </w:r>
      <w:r w:rsidR="00001FFB">
        <w:rPr>
          <w:rFonts w:cs="Calibri"/>
          <w:noProof/>
        </w:rPr>
        <w:t>ourt</w:t>
      </w:r>
      <w:r w:rsidR="00E67796">
        <w:rPr>
          <w:rFonts w:cs="Calibri"/>
          <w:noProof/>
        </w:rPr>
        <w:t xml:space="preserve"> will continue to automatically apply in a higher </w:t>
      </w:r>
      <w:r w:rsidR="001B1847">
        <w:rPr>
          <w:rFonts w:cs="Calibri"/>
          <w:noProof/>
        </w:rPr>
        <w:t>c</w:t>
      </w:r>
      <w:r w:rsidR="00001FFB">
        <w:rPr>
          <w:rFonts w:cs="Calibri"/>
          <w:noProof/>
        </w:rPr>
        <w:t>ourt</w:t>
      </w:r>
      <w:r w:rsidR="00A04B02">
        <w:rPr>
          <w:rFonts w:cs="Calibri"/>
          <w:noProof/>
        </w:rPr>
        <w:t>, so consideration should be given to this issue at the committal, trial, sentence and appellate phases of a matter</w:t>
      </w:r>
      <w:r w:rsidR="00E67796">
        <w:rPr>
          <w:rFonts w:cs="Calibri"/>
          <w:noProof/>
        </w:rPr>
        <w:t>.</w:t>
      </w:r>
      <w:r w:rsidR="00E67796">
        <w:rPr>
          <w:rStyle w:val="FootnoteReference"/>
          <w:rFonts w:cs="Calibri"/>
          <w:noProof/>
        </w:rPr>
        <w:footnoteReference w:id="13"/>
      </w:r>
    </w:p>
    <w:p w14:paraId="7F4414D6" w14:textId="77777777" w:rsidR="00A0490A" w:rsidRPr="00BF5CB0" w:rsidRDefault="00A0490A" w:rsidP="00A0490A">
      <w:pPr>
        <w:spacing w:after="0"/>
        <w:jc w:val="both"/>
        <w:rPr>
          <w:rFonts w:cs="Calibri"/>
          <w:b/>
          <w:noProof/>
        </w:rPr>
      </w:pPr>
      <w:r w:rsidRPr="00BF5CB0">
        <w:rPr>
          <w:rFonts w:cs="Calibri"/>
          <w:b/>
          <w:noProof/>
        </w:rPr>
        <w:t>Exceptions to suppression orders</w:t>
      </w:r>
      <w:r w:rsidR="00003699">
        <w:rPr>
          <w:rFonts w:cs="Calibri"/>
          <w:b/>
          <w:noProof/>
        </w:rPr>
        <w:t xml:space="preserve"> for public officials </w:t>
      </w:r>
    </w:p>
    <w:p w14:paraId="56B90954" w14:textId="02E9A8BF" w:rsidR="00644E1B" w:rsidRDefault="00644E1B" w:rsidP="00644E1B">
      <w:pPr>
        <w:rPr>
          <w:noProof/>
        </w:rPr>
      </w:pPr>
      <w:r>
        <w:rPr>
          <w:rFonts w:cs="Calibri"/>
          <w:noProof/>
        </w:rPr>
        <w:t>Suppression orders made under State and Territory legislation are directed towards preventing publication or disclosure of the names of parties, victims of crime or proceedings to the public</w:t>
      </w:r>
      <w:r>
        <w:rPr>
          <w:noProof/>
        </w:rPr>
        <w:t>.   A lack of definition on what is meant by ‘publication’ or ‘disclosure’ in jursidictional legislation</w:t>
      </w:r>
      <w:r w:rsidR="00DF641F">
        <w:rPr>
          <w:noProof/>
        </w:rPr>
        <w:t>,</w:t>
      </w:r>
      <w:r>
        <w:rPr>
          <w:noProof/>
        </w:rPr>
        <w:t xml:space="preserve"> as well as a lack of case law examining the breadth of those specific pieces of legislation</w:t>
      </w:r>
      <w:r w:rsidR="00DF641F">
        <w:rPr>
          <w:noProof/>
        </w:rPr>
        <w:t>,</w:t>
      </w:r>
      <w:r>
        <w:rPr>
          <w:noProof/>
        </w:rPr>
        <w:t xml:space="preserve"> has led to some confusion and differing views about whether prosecutors will breach suppression orders by providing material to Government authorities and agencies, where such disclosures are necessary in order to enable the performance of their functions in relation to the administration of a sentence.</w:t>
      </w:r>
      <w:r>
        <w:rPr>
          <w:rStyle w:val="FootnoteReference"/>
          <w:noProof/>
        </w:rPr>
        <w:footnoteReference w:id="14"/>
      </w:r>
    </w:p>
    <w:p w14:paraId="265D9948" w14:textId="77777777" w:rsidR="00644E1B" w:rsidRDefault="00644E1B" w:rsidP="00644E1B">
      <w:r>
        <w:rPr>
          <w:noProof/>
        </w:rPr>
        <w:t xml:space="preserve">By way of </w:t>
      </w:r>
      <w:r>
        <w:rPr>
          <w:rFonts w:cs="Calibri"/>
          <w:noProof/>
        </w:rPr>
        <w:t>example, where an offender is sentenced to a federal parole order, the CDPP provide</w:t>
      </w:r>
      <w:r>
        <w:rPr>
          <w:noProof/>
        </w:rPr>
        <w:t>s</w:t>
      </w:r>
      <w:r>
        <w:rPr>
          <w:rFonts w:cs="Calibri"/>
          <w:noProof/>
        </w:rPr>
        <w:t xml:space="preserve"> (disclose</w:t>
      </w:r>
      <w:r>
        <w:rPr>
          <w:noProof/>
        </w:rPr>
        <w:t>s</w:t>
      </w:r>
      <w:r>
        <w:rPr>
          <w:rFonts w:cs="Calibri"/>
          <w:noProof/>
        </w:rPr>
        <w:t xml:space="preserve">) sentence details (including transcripts of sentencing proceedings) to the Attorney-General’s Department in order for the Department to administer federal parole orders, and the Department in turn is usually required to provide those details to State or Territory Parole Boards. </w:t>
      </w:r>
      <w:r>
        <w:rPr>
          <w:noProof/>
        </w:rPr>
        <w:t xml:space="preserve"> Similar issues arise </w:t>
      </w:r>
      <w:r>
        <w:rPr>
          <w:rFonts w:cs="Calibri"/>
          <w:noProof/>
        </w:rPr>
        <w:t>for the handling of sentence information by State or Territory Correctional Services, State or Territory Parole Boards, the Department of Home Affairs (who may need to organise the deportation of an offender after their release from custody), or a</w:t>
      </w:r>
      <w:r>
        <w:rPr>
          <w:noProof/>
        </w:rPr>
        <w:t xml:space="preserve"> range of </w:t>
      </w:r>
      <w:r>
        <w:rPr>
          <w:rFonts w:cs="Calibri"/>
          <w:noProof/>
        </w:rPr>
        <w:t>other person</w:t>
      </w:r>
      <w:r>
        <w:rPr>
          <w:noProof/>
        </w:rPr>
        <w:t>s</w:t>
      </w:r>
      <w:r>
        <w:rPr>
          <w:rFonts w:cs="Calibri"/>
          <w:noProof/>
        </w:rPr>
        <w:t xml:space="preserve"> performing Government functions in their official capacity.</w:t>
      </w:r>
    </w:p>
    <w:p w14:paraId="51B8CAFC" w14:textId="635DA41D" w:rsidR="00644E1B" w:rsidRDefault="00644E1B" w:rsidP="00644E1B">
      <w:r>
        <w:t xml:space="preserve">Some jurisdictions have enacted amendments to their legislation to provide clarity on this issue, but in most local legislation this is not the case.  Annexure A to this NLD sets out the current CDPP position for each jurisdiction, based on a combination of CDPP, </w:t>
      </w:r>
      <w:r w:rsidR="00DF641F">
        <w:t>S</w:t>
      </w:r>
      <w:r>
        <w:t>tate/</w:t>
      </w:r>
      <w:r w:rsidR="00DF641F">
        <w:t>T</w:t>
      </w:r>
      <w:r>
        <w:t xml:space="preserve">erritory prosecution agency and court practice in each jurisdiction.  Similar issues </w:t>
      </w:r>
      <w:r w:rsidR="00374708">
        <w:t xml:space="preserve">can also </w:t>
      </w:r>
      <w:r>
        <w:t xml:space="preserve">arise where suppression orders are made pursuant to federal legislation and the inherent/implied powers of the court.  </w:t>
      </w:r>
    </w:p>
    <w:p w14:paraId="7064A3BA" w14:textId="77777777" w:rsidR="00840407" w:rsidRPr="007541F2" w:rsidRDefault="00840407" w:rsidP="008F0014">
      <w:pPr>
        <w:pStyle w:val="NLDheading"/>
      </w:pPr>
      <w:bookmarkStart w:id="10" w:name="_Toc57109709"/>
      <w:bookmarkStart w:id="11" w:name="_Toc57109723"/>
      <w:bookmarkStart w:id="12" w:name="_Toc58916920"/>
      <w:bookmarkStart w:id="13" w:name="_Toc215386589"/>
      <w:bookmarkStart w:id="14" w:name="_Toc333487918"/>
      <w:bookmarkStart w:id="15" w:name="_Toc335136710"/>
      <w:bookmarkStart w:id="16" w:name="_Toc58916921"/>
      <w:bookmarkStart w:id="17" w:name="_Toc64462156"/>
      <w:bookmarkEnd w:id="10"/>
      <w:bookmarkEnd w:id="11"/>
      <w:bookmarkEnd w:id="12"/>
      <w:r w:rsidRPr="00840407">
        <w:lastRenderedPageBreak/>
        <w:t>Prosecution Application for a Suppression Order</w:t>
      </w:r>
      <w:bookmarkEnd w:id="13"/>
      <w:bookmarkEnd w:id="14"/>
      <w:bookmarkEnd w:id="15"/>
      <w:bookmarkEnd w:id="16"/>
      <w:bookmarkEnd w:id="17"/>
    </w:p>
    <w:p w14:paraId="5FE9F9A0" w14:textId="77777777" w:rsidR="00840407" w:rsidRDefault="00E03594" w:rsidP="00905116">
      <w:pPr>
        <w:spacing w:after="0"/>
        <w:jc w:val="both"/>
        <w:rPr>
          <w:rFonts w:cs="Calibri"/>
          <w:noProof/>
        </w:rPr>
      </w:pPr>
      <w:r>
        <w:rPr>
          <w:rFonts w:cs="Calibri"/>
          <w:noProof/>
        </w:rPr>
        <w:t>From time to time, t</w:t>
      </w:r>
      <w:r w:rsidR="00C26657">
        <w:rPr>
          <w:rFonts w:cs="Calibri"/>
          <w:noProof/>
        </w:rPr>
        <w:t>he CDPP may</w:t>
      </w:r>
      <w:r w:rsidR="00D84A95">
        <w:rPr>
          <w:rFonts w:cs="Calibri"/>
          <w:noProof/>
        </w:rPr>
        <w:t>, on its own i</w:t>
      </w:r>
      <w:r w:rsidR="00C9410C">
        <w:rPr>
          <w:rFonts w:cs="Calibri"/>
          <w:noProof/>
        </w:rPr>
        <w:t>n</w:t>
      </w:r>
      <w:r w:rsidR="00D84A95">
        <w:rPr>
          <w:rFonts w:cs="Calibri"/>
          <w:noProof/>
        </w:rPr>
        <w:t>itiative,</w:t>
      </w:r>
      <w:r w:rsidR="00C26657">
        <w:rPr>
          <w:rFonts w:cs="Calibri"/>
          <w:noProof/>
        </w:rPr>
        <w:t xml:space="preserve"> decide to apply for a suppression order.  Alternatively, t</w:t>
      </w:r>
      <w:r w:rsidR="00840407">
        <w:rPr>
          <w:rFonts w:cs="Calibri"/>
          <w:noProof/>
        </w:rPr>
        <w:t xml:space="preserve">he CDPP may receive a request to make an application for a suppression order from a </w:t>
      </w:r>
      <w:r w:rsidR="001E1557">
        <w:rPr>
          <w:rFonts w:cs="Calibri"/>
          <w:noProof/>
        </w:rPr>
        <w:t xml:space="preserve">third party, such as a </w:t>
      </w:r>
      <w:r w:rsidR="00840407">
        <w:rPr>
          <w:rFonts w:cs="Calibri"/>
          <w:noProof/>
        </w:rPr>
        <w:t xml:space="preserve">referring agency, a victim or another entity.  </w:t>
      </w:r>
      <w:r w:rsidR="000C152E">
        <w:rPr>
          <w:rFonts w:cs="Calibri"/>
          <w:noProof/>
        </w:rPr>
        <w:t xml:space="preserve">Where such a request is received, the CDPP will need to carefully consider whether the third party is </w:t>
      </w:r>
      <w:r w:rsidR="001E1557">
        <w:rPr>
          <w:rFonts w:cs="Calibri"/>
          <w:noProof/>
        </w:rPr>
        <w:t xml:space="preserve">the most appropriate agency to make the application, rather than the CDPP.  </w:t>
      </w:r>
    </w:p>
    <w:p w14:paraId="2E1A4E10" w14:textId="77777777" w:rsidR="006E15DB" w:rsidRDefault="00840407" w:rsidP="00905116">
      <w:pPr>
        <w:spacing w:after="0"/>
        <w:jc w:val="both"/>
        <w:rPr>
          <w:rFonts w:cs="Calibri"/>
          <w:noProof/>
        </w:rPr>
      </w:pPr>
      <w:r w:rsidRPr="006C0974">
        <w:rPr>
          <w:rFonts w:cs="Calibri"/>
          <w:noProof/>
        </w:rPr>
        <w:t xml:space="preserve">When determining whether to make an application for a suppression order, the CDPP will closely consider the particular circumstances of the case, the applicable legislation and the possible grounds for making an application.    </w:t>
      </w:r>
    </w:p>
    <w:p w14:paraId="4231749C" w14:textId="77777777" w:rsidR="00840407" w:rsidRPr="006C0974" w:rsidRDefault="00840407" w:rsidP="00905116">
      <w:pPr>
        <w:spacing w:after="0"/>
        <w:jc w:val="both"/>
        <w:rPr>
          <w:rFonts w:cs="Calibri"/>
          <w:noProof/>
        </w:rPr>
      </w:pPr>
      <w:r w:rsidRPr="006C0974">
        <w:rPr>
          <w:rFonts w:cs="Calibri"/>
          <w:noProof/>
        </w:rPr>
        <w:t>Such circumstances include where the publication of</w:t>
      </w:r>
      <w:r w:rsidR="007541F2">
        <w:rPr>
          <w:rFonts w:cs="Calibri"/>
          <w:noProof/>
        </w:rPr>
        <w:t xml:space="preserve"> evidence or information may:  </w:t>
      </w:r>
    </w:p>
    <w:p w14:paraId="7E53525E" w14:textId="77777777" w:rsidR="00840407" w:rsidRPr="006C0974" w:rsidRDefault="00840407" w:rsidP="0050282B">
      <w:pPr>
        <w:pStyle w:val="ListParagraph"/>
        <w:numPr>
          <w:ilvl w:val="0"/>
          <w:numId w:val="12"/>
        </w:numPr>
        <w:tabs>
          <w:tab w:val="left" w:pos="709"/>
        </w:tabs>
        <w:suppressAutoHyphens w:val="0"/>
        <w:spacing w:after="0" w:line="240" w:lineRule="atLeast"/>
        <w:ind w:left="709" w:hanging="352"/>
        <w:jc w:val="both"/>
        <w:rPr>
          <w:rFonts w:cs="Calibri"/>
          <w:noProof/>
        </w:rPr>
      </w:pPr>
      <w:r w:rsidRPr="006C0974">
        <w:rPr>
          <w:rFonts w:cs="Calibri"/>
          <w:noProof/>
        </w:rPr>
        <w:t>Endanger the national or international security of Australia;</w:t>
      </w:r>
    </w:p>
    <w:p w14:paraId="5D8BEE36" w14:textId="77777777" w:rsidR="00840407" w:rsidRPr="006C0974" w:rsidRDefault="00840407" w:rsidP="0050282B">
      <w:pPr>
        <w:pStyle w:val="ListParagraph"/>
        <w:numPr>
          <w:ilvl w:val="0"/>
          <w:numId w:val="12"/>
        </w:numPr>
        <w:tabs>
          <w:tab w:val="left" w:pos="709"/>
        </w:tabs>
        <w:suppressAutoHyphens w:val="0"/>
        <w:spacing w:after="0" w:line="240" w:lineRule="atLeast"/>
        <w:ind w:left="709" w:hanging="352"/>
        <w:jc w:val="both"/>
        <w:rPr>
          <w:rFonts w:cs="Calibri"/>
          <w:noProof/>
        </w:rPr>
      </w:pPr>
      <w:r w:rsidRPr="006C0974">
        <w:rPr>
          <w:rFonts w:cs="Calibri"/>
          <w:noProof/>
        </w:rPr>
        <w:t>Prejudice the administration of justice;</w:t>
      </w:r>
    </w:p>
    <w:p w14:paraId="5C3E7671" w14:textId="77777777" w:rsidR="00840407" w:rsidRPr="006C0974" w:rsidRDefault="00840407" w:rsidP="0050282B">
      <w:pPr>
        <w:pStyle w:val="ListParagraph"/>
        <w:numPr>
          <w:ilvl w:val="0"/>
          <w:numId w:val="12"/>
        </w:numPr>
        <w:tabs>
          <w:tab w:val="left" w:pos="709"/>
        </w:tabs>
        <w:suppressAutoHyphens w:val="0"/>
        <w:spacing w:after="0" w:line="240" w:lineRule="atLeast"/>
        <w:ind w:left="709" w:hanging="352"/>
        <w:jc w:val="both"/>
        <w:rPr>
          <w:rFonts w:cs="Calibri"/>
          <w:noProof/>
        </w:rPr>
      </w:pPr>
      <w:r w:rsidRPr="006C0974">
        <w:rPr>
          <w:rFonts w:cs="Calibri"/>
          <w:noProof/>
        </w:rPr>
        <w:t>Endanger the physical safety of any person;</w:t>
      </w:r>
    </w:p>
    <w:p w14:paraId="6352AB4F" w14:textId="77777777" w:rsidR="00840407" w:rsidRPr="006C0974" w:rsidRDefault="00840407" w:rsidP="0050282B">
      <w:pPr>
        <w:pStyle w:val="ListParagraph"/>
        <w:numPr>
          <w:ilvl w:val="0"/>
          <w:numId w:val="12"/>
        </w:numPr>
        <w:tabs>
          <w:tab w:val="left" w:pos="709"/>
        </w:tabs>
        <w:suppressAutoHyphens w:val="0"/>
        <w:spacing w:after="0" w:line="240" w:lineRule="atLeast"/>
        <w:ind w:left="709" w:hanging="352"/>
        <w:jc w:val="both"/>
        <w:rPr>
          <w:rFonts w:cs="Calibri"/>
          <w:noProof/>
        </w:rPr>
      </w:pPr>
      <w:r w:rsidRPr="006C0974">
        <w:rPr>
          <w:rFonts w:cs="Calibri"/>
          <w:noProof/>
        </w:rPr>
        <w:t xml:space="preserve">Cause undue hardship, distress or embarrassment to an alleged victim of crime or to a child witness; </w:t>
      </w:r>
    </w:p>
    <w:p w14:paraId="7582E2DE" w14:textId="77777777" w:rsidR="00840407" w:rsidRPr="007541F2" w:rsidRDefault="00840407" w:rsidP="0050282B">
      <w:pPr>
        <w:pStyle w:val="ListParagraph"/>
        <w:numPr>
          <w:ilvl w:val="0"/>
          <w:numId w:val="12"/>
        </w:numPr>
        <w:tabs>
          <w:tab w:val="left" w:pos="709"/>
        </w:tabs>
        <w:suppressAutoHyphens w:val="0"/>
        <w:spacing w:after="0" w:line="240" w:lineRule="atLeast"/>
        <w:ind w:left="709" w:hanging="352"/>
        <w:jc w:val="both"/>
        <w:rPr>
          <w:rFonts w:cs="Calibri"/>
          <w:noProof/>
        </w:rPr>
      </w:pPr>
      <w:r w:rsidRPr="006C0974">
        <w:rPr>
          <w:rFonts w:cs="Calibri"/>
          <w:noProof/>
        </w:rPr>
        <w:t>Offend public decency or morality.</w:t>
      </w:r>
    </w:p>
    <w:p w14:paraId="39465170" w14:textId="77777777" w:rsidR="00840407" w:rsidRPr="006C0974" w:rsidRDefault="00840407" w:rsidP="0050282B">
      <w:pPr>
        <w:pStyle w:val="ListParagraph"/>
        <w:keepNext/>
        <w:spacing w:after="0"/>
        <w:ind w:left="0"/>
        <w:contextualSpacing w:val="0"/>
        <w:jc w:val="both"/>
        <w:rPr>
          <w:rFonts w:cs="Calibri"/>
          <w:noProof/>
        </w:rPr>
      </w:pPr>
      <w:r w:rsidRPr="006C0974">
        <w:rPr>
          <w:rFonts w:cs="Calibri"/>
          <w:noProof/>
        </w:rPr>
        <w:t>Preventing the endangerment of national or international security i</w:t>
      </w:r>
      <w:r w:rsidR="007541F2">
        <w:rPr>
          <w:rFonts w:cs="Calibri"/>
          <w:noProof/>
        </w:rPr>
        <w:t>ncludes, but is not limited to:</w:t>
      </w:r>
    </w:p>
    <w:p w14:paraId="59AF1A04" w14:textId="77777777" w:rsidR="00840407" w:rsidRPr="006C0974" w:rsidRDefault="00840407" w:rsidP="0050282B">
      <w:pPr>
        <w:pStyle w:val="ListParagraph"/>
        <w:numPr>
          <w:ilvl w:val="0"/>
          <w:numId w:val="11"/>
        </w:numPr>
        <w:tabs>
          <w:tab w:val="left" w:pos="709"/>
        </w:tabs>
        <w:suppressAutoHyphens w:val="0"/>
        <w:spacing w:after="0" w:line="240" w:lineRule="atLeast"/>
        <w:ind w:left="709" w:hanging="352"/>
        <w:jc w:val="both"/>
        <w:rPr>
          <w:rFonts w:cs="Calibri"/>
          <w:noProof/>
        </w:rPr>
      </w:pPr>
      <w:r w:rsidRPr="006C0974">
        <w:rPr>
          <w:rFonts w:cs="Calibri"/>
          <w:noProof/>
        </w:rPr>
        <w:t>Preventing the release of information which could jeopardise ongoing investigations;</w:t>
      </w:r>
    </w:p>
    <w:p w14:paraId="2D85ED9C" w14:textId="77777777" w:rsidR="00840407" w:rsidRPr="006C0974" w:rsidRDefault="00840407" w:rsidP="0050282B">
      <w:pPr>
        <w:pStyle w:val="ListParagraph"/>
        <w:numPr>
          <w:ilvl w:val="0"/>
          <w:numId w:val="11"/>
        </w:numPr>
        <w:tabs>
          <w:tab w:val="left" w:pos="709"/>
        </w:tabs>
        <w:suppressAutoHyphens w:val="0"/>
        <w:spacing w:after="0" w:line="240" w:lineRule="atLeast"/>
        <w:ind w:left="709" w:hanging="352"/>
        <w:jc w:val="both"/>
        <w:rPr>
          <w:rFonts w:cs="Calibri"/>
          <w:noProof/>
        </w:rPr>
      </w:pPr>
      <w:r w:rsidRPr="006C0974">
        <w:rPr>
          <w:rFonts w:cs="Calibri"/>
          <w:noProof/>
        </w:rPr>
        <w:t>Preventing the release of information that might reveal operational methods and capabilities; or</w:t>
      </w:r>
    </w:p>
    <w:p w14:paraId="05F95191" w14:textId="77777777" w:rsidR="00840407" w:rsidRPr="003D66BA" w:rsidRDefault="00840407" w:rsidP="0050282B">
      <w:pPr>
        <w:pStyle w:val="ListParagraph"/>
        <w:numPr>
          <w:ilvl w:val="0"/>
          <w:numId w:val="11"/>
        </w:numPr>
        <w:tabs>
          <w:tab w:val="left" w:pos="709"/>
        </w:tabs>
        <w:suppressAutoHyphens w:val="0"/>
        <w:spacing w:after="0" w:line="240" w:lineRule="atLeast"/>
        <w:ind w:left="709" w:hanging="352"/>
        <w:jc w:val="both"/>
        <w:rPr>
          <w:rFonts w:cs="Calibri"/>
          <w:noProof/>
        </w:rPr>
      </w:pPr>
      <w:r w:rsidRPr="006C0974">
        <w:rPr>
          <w:rFonts w:cs="Calibri"/>
          <w:noProof/>
        </w:rPr>
        <w:t>Protecting information provided by foreign governments and agencies.</w:t>
      </w:r>
    </w:p>
    <w:p w14:paraId="48BADDA0" w14:textId="77777777" w:rsidR="00840407" w:rsidRPr="006C0974" w:rsidRDefault="00840407" w:rsidP="0050282B">
      <w:pPr>
        <w:pStyle w:val="ListParagraph"/>
        <w:spacing w:after="0"/>
        <w:ind w:left="0"/>
        <w:contextualSpacing w:val="0"/>
        <w:jc w:val="both"/>
        <w:rPr>
          <w:rFonts w:cs="Calibri"/>
          <w:noProof/>
        </w:rPr>
      </w:pPr>
      <w:r w:rsidRPr="006C0974">
        <w:rPr>
          <w:rFonts w:cs="Calibri"/>
          <w:noProof/>
        </w:rPr>
        <w:t xml:space="preserve">Preventing prejudice to the administration of justice </w:t>
      </w:r>
      <w:r w:rsidR="007541F2">
        <w:rPr>
          <w:rFonts w:cs="Calibri"/>
          <w:noProof/>
        </w:rPr>
        <w:t>includes but is not limited to:</w:t>
      </w:r>
    </w:p>
    <w:p w14:paraId="43D51492" w14:textId="77777777" w:rsidR="00840407" w:rsidRPr="006C0974" w:rsidRDefault="00840407" w:rsidP="0050282B">
      <w:pPr>
        <w:pStyle w:val="ListParagraph"/>
        <w:numPr>
          <w:ilvl w:val="0"/>
          <w:numId w:val="10"/>
        </w:numPr>
        <w:tabs>
          <w:tab w:val="left" w:pos="709"/>
        </w:tabs>
        <w:suppressAutoHyphens w:val="0"/>
        <w:spacing w:after="0" w:line="240" w:lineRule="atLeast"/>
        <w:ind w:left="709" w:hanging="352"/>
        <w:jc w:val="both"/>
        <w:rPr>
          <w:rFonts w:cs="Calibri"/>
          <w:noProof/>
        </w:rPr>
      </w:pPr>
      <w:r w:rsidRPr="006C0974">
        <w:rPr>
          <w:rFonts w:cs="Calibri"/>
          <w:noProof/>
        </w:rPr>
        <w:t>Ensuring a fair trial by protecting juries from prejudicial pre-trial publicity (including suppression of prejudicial facts as well as information from related proceedings);</w:t>
      </w:r>
    </w:p>
    <w:p w14:paraId="60830FE3" w14:textId="77777777" w:rsidR="00840407" w:rsidRPr="006C0974" w:rsidRDefault="00840407" w:rsidP="0050282B">
      <w:pPr>
        <w:pStyle w:val="ListParagraph"/>
        <w:numPr>
          <w:ilvl w:val="0"/>
          <w:numId w:val="10"/>
        </w:numPr>
        <w:tabs>
          <w:tab w:val="left" w:pos="709"/>
        </w:tabs>
        <w:suppressAutoHyphens w:val="0"/>
        <w:spacing w:after="0" w:line="240" w:lineRule="atLeast"/>
        <w:ind w:left="709" w:hanging="352"/>
        <w:jc w:val="both"/>
        <w:rPr>
          <w:rFonts w:cs="Calibri"/>
          <w:noProof/>
        </w:rPr>
      </w:pPr>
      <w:r w:rsidRPr="006C0974">
        <w:rPr>
          <w:rFonts w:cs="Calibri"/>
          <w:noProof/>
        </w:rPr>
        <w:t>Securing the evidence of a witness;</w:t>
      </w:r>
    </w:p>
    <w:p w14:paraId="1F05520E" w14:textId="77777777" w:rsidR="00840407" w:rsidRPr="006C0974" w:rsidRDefault="00840407" w:rsidP="0050282B">
      <w:pPr>
        <w:pStyle w:val="ListParagraph"/>
        <w:numPr>
          <w:ilvl w:val="0"/>
          <w:numId w:val="10"/>
        </w:numPr>
        <w:tabs>
          <w:tab w:val="left" w:pos="709"/>
        </w:tabs>
        <w:suppressAutoHyphens w:val="0"/>
        <w:spacing w:after="0" w:line="240" w:lineRule="atLeast"/>
        <w:ind w:left="709" w:hanging="352"/>
        <w:jc w:val="both"/>
        <w:rPr>
          <w:rFonts w:cs="Calibri"/>
          <w:noProof/>
        </w:rPr>
      </w:pPr>
      <w:r w:rsidRPr="006C0974">
        <w:rPr>
          <w:rFonts w:cs="Calibri"/>
          <w:noProof/>
        </w:rPr>
        <w:t>Protecting parties, witnesses or informants from physical danger;</w:t>
      </w:r>
    </w:p>
    <w:p w14:paraId="2A29ADB7" w14:textId="77777777" w:rsidR="00840407" w:rsidRPr="006C0974" w:rsidRDefault="00840407" w:rsidP="0050282B">
      <w:pPr>
        <w:pStyle w:val="ListParagraph"/>
        <w:numPr>
          <w:ilvl w:val="0"/>
          <w:numId w:val="10"/>
        </w:numPr>
        <w:tabs>
          <w:tab w:val="left" w:pos="709"/>
        </w:tabs>
        <w:suppressAutoHyphens w:val="0"/>
        <w:spacing w:after="0" w:line="240" w:lineRule="atLeast"/>
        <w:ind w:left="709" w:hanging="352"/>
        <w:jc w:val="both"/>
        <w:rPr>
          <w:rFonts w:cs="Calibri"/>
          <w:noProof/>
        </w:rPr>
      </w:pPr>
      <w:r w:rsidRPr="006C0974">
        <w:rPr>
          <w:rFonts w:cs="Calibri"/>
          <w:noProof/>
        </w:rPr>
        <w:t>Preventing particular continuing police investigations from being impeded (including suppression of the identity of undercover operatives); or</w:t>
      </w:r>
    </w:p>
    <w:p w14:paraId="1BFA1C06" w14:textId="77777777" w:rsidR="00133A8D" w:rsidRDefault="00840407" w:rsidP="00DA5EA8">
      <w:pPr>
        <w:pStyle w:val="ListParagraph"/>
        <w:numPr>
          <w:ilvl w:val="0"/>
          <w:numId w:val="10"/>
        </w:numPr>
        <w:tabs>
          <w:tab w:val="left" w:pos="709"/>
        </w:tabs>
        <w:suppressAutoHyphens w:val="0"/>
        <w:spacing w:line="240" w:lineRule="atLeast"/>
        <w:ind w:left="709" w:hanging="352"/>
        <w:jc w:val="both"/>
        <w:rPr>
          <w:rFonts w:cs="Calibri"/>
          <w:noProof/>
        </w:rPr>
      </w:pPr>
      <w:r w:rsidRPr="006C0974">
        <w:rPr>
          <w:rFonts w:cs="Calibri"/>
          <w:noProof/>
        </w:rPr>
        <w:t>Protecting victims where the purpose of the proceedings would be undermined if certain information was made public.</w:t>
      </w:r>
    </w:p>
    <w:p w14:paraId="6511E426" w14:textId="77777777" w:rsidR="00DA5EA8" w:rsidRPr="00DA5EA8" w:rsidRDefault="00DA5EA8" w:rsidP="00DA5EA8">
      <w:pPr>
        <w:pStyle w:val="ListParagraph"/>
        <w:tabs>
          <w:tab w:val="left" w:pos="709"/>
        </w:tabs>
        <w:suppressAutoHyphens w:val="0"/>
        <w:spacing w:line="240" w:lineRule="atLeast"/>
        <w:ind w:left="0"/>
        <w:jc w:val="both"/>
        <w:rPr>
          <w:rFonts w:cs="Calibri"/>
          <w:noProof/>
        </w:rPr>
      </w:pPr>
    </w:p>
    <w:p w14:paraId="62001F47" w14:textId="77777777" w:rsidR="00133A8D" w:rsidRPr="00423190" w:rsidRDefault="00133A8D" w:rsidP="00DA5EA8">
      <w:pPr>
        <w:pStyle w:val="ListParagraph"/>
        <w:tabs>
          <w:tab w:val="left" w:pos="709"/>
        </w:tabs>
        <w:suppressAutoHyphens w:val="0"/>
        <w:spacing w:line="240" w:lineRule="atLeast"/>
        <w:ind w:left="0"/>
        <w:jc w:val="both"/>
        <w:rPr>
          <w:rFonts w:cs="Calibri"/>
          <w:b/>
          <w:noProof/>
        </w:rPr>
      </w:pPr>
      <w:r w:rsidRPr="00423190">
        <w:rPr>
          <w:rFonts w:cs="Calibri"/>
          <w:b/>
          <w:noProof/>
        </w:rPr>
        <w:t>Noti</w:t>
      </w:r>
      <w:r>
        <w:rPr>
          <w:rFonts w:cs="Calibri"/>
          <w:b/>
          <w:noProof/>
        </w:rPr>
        <w:t>c</w:t>
      </w:r>
      <w:r w:rsidRPr="00423190">
        <w:rPr>
          <w:rFonts w:cs="Calibri"/>
          <w:b/>
          <w:noProof/>
        </w:rPr>
        <w:t>e of A</w:t>
      </w:r>
      <w:r w:rsidR="00DA5EA8">
        <w:rPr>
          <w:rFonts w:cs="Calibri"/>
          <w:b/>
          <w:noProof/>
        </w:rPr>
        <w:t>pplication</w:t>
      </w:r>
    </w:p>
    <w:p w14:paraId="39BCDA68" w14:textId="77777777" w:rsidR="00133A8D" w:rsidRPr="006C0974" w:rsidRDefault="00133A8D" w:rsidP="00DA5EA8">
      <w:pPr>
        <w:pStyle w:val="ListParagraph"/>
        <w:tabs>
          <w:tab w:val="left" w:pos="709"/>
        </w:tabs>
        <w:suppressAutoHyphens w:val="0"/>
        <w:spacing w:line="240" w:lineRule="atLeast"/>
        <w:ind w:left="0"/>
        <w:jc w:val="both"/>
        <w:rPr>
          <w:rFonts w:cs="Calibri"/>
          <w:noProof/>
        </w:rPr>
      </w:pPr>
      <w:r>
        <w:rPr>
          <w:rFonts w:cs="Calibri"/>
          <w:noProof/>
        </w:rPr>
        <w:t>Regard should also be had to any statutory requirements relating to giving notice to the defence</w:t>
      </w:r>
      <w:r w:rsidR="00E03594">
        <w:rPr>
          <w:rFonts w:cs="Calibri"/>
          <w:noProof/>
        </w:rPr>
        <w:t>, and third parties (such as the media)</w:t>
      </w:r>
      <w:r w:rsidR="003A262C">
        <w:rPr>
          <w:rFonts w:cs="Calibri"/>
          <w:noProof/>
        </w:rPr>
        <w:t>,</w:t>
      </w:r>
      <w:r>
        <w:rPr>
          <w:rFonts w:cs="Calibri"/>
          <w:noProof/>
        </w:rPr>
        <w:t xml:space="preserve"> </w:t>
      </w:r>
      <w:r w:rsidR="008629FB">
        <w:rPr>
          <w:rFonts w:cs="Calibri"/>
          <w:noProof/>
        </w:rPr>
        <w:t xml:space="preserve">of </w:t>
      </w:r>
      <w:r w:rsidR="00E03594">
        <w:rPr>
          <w:rFonts w:cs="Calibri"/>
          <w:noProof/>
        </w:rPr>
        <w:t xml:space="preserve">an </w:t>
      </w:r>
      <w:r>
        <w:rPr>
          <w:rFonts w:cs="Calibri"/>
          <w:noProof/>
        </w:rPr>
        <w:t xml:space="preserve">application for </w:t>
      </w:r>
      <w:r w:rsidR="00E03594">
        <w:rPr>
          <w:rFonts w:cs="Calibri"/>
          <w:noProof/>
        </w:rPr>
        <w:t xml:space="preserve">a </w:t>
      </w:r>
      <w:r>
        <w:rPr>
          <w:rFonts w:cs="Calibri"/>
          <w:noProof/>
        </w:rPr>
        <w:t>suppression order.</w:t>
      </w:r>
      <w:r w:rsidR="008629FB">
        <w:rPr>
          <w:rFonts w:cs="Calibri"/>
          <w:noProof/>
        </w:rPr>
        <w:t xml:space="preserve">  </w:t>
      </w:r>
    </w:p>
    <w:p w14:paraId="1D13AC0A" w14:textId="77777777" w:rsidR="00EE2AAA" w:rsidRDefault="00EE2AAA" w:rsidP="00905116">
      <w:pPr>
        <w:spacing w:after="0"/>
        <w:jc w:val="both"/>
        <w:rPr>
          <w:rFonts w:cs="Calibri"/>
          <w:b/>
          <w:noProof/>
        </w:rPr>
      </w:pPr>
      <w:r w:rsidRPr="00395B94">
        <w:rPr>
          <w:rFonts w:cs="Calibri"/>
          <w:b/>
          <w:noProof/>
        </w:rPr>
        <w:t>Approval</w:t>
      </w:r>
      <w:r>
        <w:rPr>
          <w:rFonts w:cs="Calibri"/>
          <w:b/>
          <w:noProof/>
        </w:rPr>
        <w:t xml:space="preserve"> required </w:t>
      </w:r>
    </w:p>
    <w:p w14:paraId="16BBB076" w14:textId="77777777" w:rsidR="00EE2AAA" w:rsidRDefault="00877288" w:rsidP="00905116">
      <w:pPr>
        <w:spacing w:after="0"/>
        <w:jc w:val="both"/>
        <w:rPr>
          <w:rFonts w:cs="Calibri"/>
          <w:noProof/>
        </w:rPr>
      </w:pPr>
      <w:r w:rsidRPr="006C0974">
        <w:rPr>
          <w:rFonts w:cs="Calibri"/>
          <w:noProof/>
        </w:rPr>
        <w:t xml:space="preserve">The relevant </w:t>
      </w:r>
      <w:r w:rsidR="001E1557">
        <w:rPr>
          <w:rFonts w:cs="Calibri"/>
          <w:noProof/>
        </w:rPr>
        <w:t>Practice Group Leader</w:t>
      </w:r>
      <w:r w:rsidR="00720F27">
        <w:rPr>
          <w:rFonts w:cs="Calibri"/>
          <w:noProof/>
        </w:rPr>
        <w:t xml:space="preserve"> (PGL)</w:t>
      </w:r>
      <w:r w:rsidRPr="006C0974">
        <w:rPr>
          <w:rFonts w:cs="Calibri"/>
          <w:noProof/>
        </w:rPr>
        <w:t xml:space="preserve"> must approve a prosecutor </w:t>
      </w:r>
      <w:r>
        <w:rPr>
          <w:rFonts w:cs="Calibri"/>
          <w:noProof/>
        </w:rPr>
        <w:t xml:space="preserve">making an </w:t>
      </w:r>
      <w:r w:rsidRPr="006C0974">
        <w:rPr>
          <w:rFonts w:cs="Calibri"/>
          <w:noProof/>
        </w:rPr>
        <w:t>application for a suppression order</w:t>
      </w:r>
      <w:r>
        <w:rPr>
          <w:rFonts w:cs="Calibri"/>
          <w:noProof/>
        </w:rPr>
        <w:t xml:space="preserve"> (see Decision Making Matrix)</w:t>
      </w:r>
      <w:r w:rsidRPr="006C0974">
        <w:rPr>
          <w:rFonts w:cs="Calibri"/>
          <w:noProof/>
        </w:rPr>
        <w:t xml:space="preserve"> </w:t>
      </w:r>
      <w:r w:rsidR="001B1847">
        <w:rPr>
          <w:rFonts w:cs="Calibri"/>
          <w:noProof/>
        </w:rPr>
        <w:t xml:space="preserve">ahead of the </w:t>
      </w:r>
      <w:r>
        <w:rPr>
          <w:rFonts w:cs="Calibri"/>
          <w:noProof/>
        </w:rPr>
        <w:t>application being made</w:t>
      </w:r>
      <w:r w:rsidR="00EE2AAA">
        <w:rPr>
          <w:rFonts w:cs="Calibri"/>
          <w:noProof/>
        </w:rPr>
        <w:t xml:space="preserve">. </w:t>
      </w:r>
      <w:r>
        <w:rPr>
          <w:rFonts w:cs="Calibri"/>
          <w:noProof/>
        </w:rPr>
        <w:t xml:space="preserve"> Prosecutors should create a decision task in CaseHQ reflecting those discussions and the relevant decision.</w:t>
      </w:r>
    </w:p>
    <w:p w14:paraId="396D5484" w14:textId="77777777" w:rsidR="00840407" w:rsidRDefault="001B1847" w:rsidP="00905116">
      <w:pPr>
        <w:spacing w:after="0"/>
        <w:jc w:val="both"/>
        <w:rPr>
          <w:rFonts w:cs="Calibri"/>
          <w:noProof/>
        </w:rPr>
      </w:pPr>
      <w:r>
        <w:rPr>
          <w:rFonts w:cs="Calibri"/>
          <w:noProof/>
        </w:rPr>
        <w:t>I</w:t>
      </w:r>
      <w:r w:rsidR="00840407" w:rsidRPr="006C0974">
        <w:rPr>
          <w:rFonts w:cs="Calibri"/>
          <w:noProof/>
        </w:rPr>
        <w:t xml:space="preserve">f an application needs to be made in </w:t>
      </w:r>
      <w:r w:rsidR="00001FFB">
        <w:rPr>
          <w:rFonts w:cs="Calibri"/>
          <w:noProof/>
        </w:rPr>
        <w:t>court</w:t>
      </w:r>
      <w:r w:rsidR="00840407" w:rsidRPr="006C0974">
        <w:rPr>
          <w:rFonts w:cs="Calibri"/>
          <w:noProof/>
        </w:rPr>
        <w:t xml:space="preserve"> urgently, </w:t>
      </w:r>
      <w:r w:rsidR="00911E44">
        <w:rPr>
          <w:rFonts w:cs="Calibri"/>
          <w:noProof/>
        </w:rPr>
        <w:t xml:space="preserve">prosecutors </w:t>
      </w:r>
      <w:r w:rsidR="00EE2AAA">
        <w:rPr>
          <w:rFonts w:cs="Calibri"/>
          <w:noProof/>
        </w:rPr>
        <w:t xml:space="preserve">should </w:t>
      </w:r>
      <w:r w:rsidR="00401F05">
        <w:rPr>
          <w:rFonts w:cs="Calibri"/>
          <w:noProof/>
        </w:rPr>
        <w:t>seek a brief adjournment</w:t>
      </w:r>
      <w:r w:rsidR="00EE2AAA">
        <w:rPr>
          <w:rFonts w:cs="Calibri"/>
          <w:noProof/>
        </w:rPr>
        <w:t xml:space="preserve"> and contact </w:t>
      </w:r>
      <w:r w:rsidR="00840407" w:rsidRPr="006C0974">
        <w:rPr>
          <w:rFonts w:cs="Calibri"/>
          <w:noProof/>
        </w:rPr>
        <w:t xml:space="preserve">the relevant </w:t>
      </w:r>
      <w:r w:rsidR="001E1557">
        <w:rPr>
          <w:rFonts w:cs="Calibri"/>
          <w:noProof/>
        </w:rPr>
        <w:t>P</w:t>
      </w:r>
      <w:r w:rsidR="00720F27">
        <w:rPr>
          <w:rFonts w:cs="Calibri"/>
          <w:noProof/>
        </w:rPr>
        <w:t>GL</w:t>
      </w:r>
      <w:r w:rsidR="00911E44">
        <w:rPr>
          <w:rFonts w:cs="Calibri"/>
          <w:noProof/>
        </w:rPr>
        <w:t xml:space="preserve"> </w:t>
      </w:r>
      <w:r w:rsidR="00EE2AAA">
        <w:rPr>
          <w:rFonts w:cs="Calibri"/>
          <w:noProof/>
        </w:rPr>
        <w:t xml:space="preserve">by phone for verbal approval. </w:t>
      </w:r>
    </w:p>
    <w:p w14:paraId="325027E4" w14:textId="77777777" w:rsidR="00EE2AAA" w:rsidRPr="00181C3C" w:rsidRDefault="00EE2AAA" w:rsidP="00905116">
      <w:pPr>
        <w:spacing w:after="0"/>
        <w:jc w:val="both"/>
        <w:rPr>
          <w:rFonts w:cs="Calibri"/>
          <w:b/>
          <w:noProof/>
        </w:rPr>
      </w:pPr>
      <w:r>
        <w:rPr>
          <w:rFonts w:cs="Calibri"/>
          <w:b/>
          <w:noProof/>
        </w:rPr>
        <w:t xml:space="preserve">Duration </w:t>
      </w:r>
      <w:r w:rsidRPr="00181C3C">
        <w:rPr>
          <w:rFonts w:cs="Calibri"/>
          <w:b/>
          <w:noProof/>
        </w:rPr>
        <w:t>of an order</w:t>
      </w:r>
    </w:p>
    <w:p w14:paraId="48172ACC" w14:textId="77777777" w:rsidR="000E1464" w:rsidRPr="006C0974" w:rsidRDefault="000E1464" w:rsidP="000E1464">
      <w:pPr>
        <w:spacing w:after="0"/>
        <w:jc w:val="both"/>
        <w:rPr>
          <w:rFonts w:cs="Calibri"/>
          <w:noProof/>
        </w:rPr>
      </w:pPr>
      <w:r>
        <w:rPr>
          <w:rFonts w:cs="Calibri"/>
          <w:noProof/>
        </w:rPr>
        <w:t>Suppression orders should ordinarily contain an expiry date, otherwise they may continue long after the  need for the order has lapsed, noting that the need for orders suppressing reporting of proceedings</w:t>
      </w:r>
      <w:r w:rsidR="00720F27">
        <w:rPr>
          <w:rFonts w:cs="Calibri"/>
          <w:noProof/>
        </w:rPr>
        <w:t>, or an aspect of proceedings,</w:t>
      </w:r>
      <w:r>
        <w:rPr>
          <w:rFonts w:cs="Calibri"/>
          <w:noProof/>
        </w:rPr>
        <w:t xml:space="preserve"> in perpetuity will be rare. In most matters, the</w:t>
      </w:r>
      <w:r w:rsidRPr="00AE7AAC">
        <w:rPr>
          <w:rFonts w:cs="Calibri"/>
          <w:noProof/>
        </w:rPr>
        <w:t xml:space="preserve"> purpose and effect of a suppression order is to postpone publication until the moment has passed when the publicatio</w:t>
      </w:r>
      <w:r>
        <w:rPr>
          <w:rFonts w:cs="Calibri"/>
          <w:noProof/>
        </w:rPr>
        <w:t xml:space="preserve">n would pose a serious risk </w:t>
      </w:r>
      <w:r w:rsidRPr="00AE7AAC">
        <w:rPr>
          <w:rFonts w:cs="Calibri"/>
          <w:noProof/>
        </w:rPr>
        <w:t>to the proper administration of justice.</w:t>
      </w:r>
      <w:r>
        <w:rPr>
          <w:rStyle w:val="FootnoteReference"/>
          <w:rFonts w:cs="Calibri"/>
          <w:noProof/>
        </w:rPr>
        <w:footnoteReference w:id="15"/>
      </w:r>
      <w:r>
        <w:rPr>
          <w:rFonts w:cs="Calibri"/>
          <w:noProof/>
        </w:rPr>
        <w:t xml:space="preserve"> The expiry date of every </w:t>
      </w:r>
      <w:r w:rsidRPr="00181C3C">
        <w:rPr>
          <w:rFonts w:cs="Calibri"/>
          <w:noProof/>
        </w:rPr>
        <w:t xml:space="preserve">suppression order should be clear </w:t>
      </w:r>
      <w:r>
        <w:rPr>
          <w:rFonts w:cs="Calibri"/>
          <w:noProof/>
        </w:rPr>
        <w:t xml:space="preserve">upon viewing the written </w:t>
      </w:r>
      <w:r w:rsidRPr="00181C3C">
        <w:rPr>
          <w:rFonts w:cs="Calibri"/>
          <w:noProof/>
        </w:rPr>
        <w:t>order itself.</w:t>
      </w:r>
      <w:r>
        <w:rPr>
          <w:rStyle w:val="FootnoteReference"/>
          <w:rFonts w:cs="Calibri"/>
          <w:noProof/>
        </w:rPr>
        <w:footnoteReference w:id="16"/>
      </w:r>
    </w:p>
    <w:p w14:paraId="3BD1AD33" w14:textId="77777777" w:rsidR="000E1464" w:rsidRDefault="000E1464" w:rsidP="000E1464">
      <w:pPr>
        <w:spacing w:after="0"/>
        <w:jc w:val="both"/>
        <w:rPr>
          <w:rFonts w:cs="Calibri"/>
          <w:noProof/>
        </w:rPr>
      </w:pPr>
      <w:r w:rsidRPr="006C0974">
        <w:rPr>
          <w:rFonts w:cs="Calibri"/>
          <w:noProof/>
        </w:rPr>
        <w:lastRenderedPageBreak/>
        <w:t>Prosecutors should</w:t>
      </w:r>
      <w:r w:rsidR="001E1557">
        <w:rPr>
          <w:rFonts w:cs="Calibri"/>
          <w:noProof/>
        </w:rPr>
        <w:t>,</w:t>
      </w:r>
      <w:r w:rsidRPr="006C0974">
        <w:rPr>
          <w:rFonts w:cs="Calibri"/>
          <w:noProof/>
        </w:rPr>
        <w:t xml:space="preserve"> </w:t>
      </w:r>
      <w:r>
        <w:rPr>
          <w:rFonts w:cs="Calibri"/>
          <w:noProof/>
        </w:rPr>
        <w:t>therefore</w:t>
      </w:r>
      <w:r w:rsidR="001E1557">
        <w:rPr>
          <w:rFonts w:cs="Calibri"/>
          <w:noProof/>
        </w:rPr>
        <w:t>,</w:t>
      </w:r>
      <w:r>
        <w:rPr>
          <w:rFonts w:cs="Calibri"/>
          <w:noProof/>
        </w:rPr>
        <w:t xml:space="preserve"> request the court to specify </w:t>
      </w:r>
      <w:r w:rsidRPr="006C0974">
        <w:rPr>
          <w:rFonts w:cs="Calibri"/>
          <w:noProof/>
        </w:rPr>
        <w:t>an end date</w:t>
      </w:r>
      <w:r w:rsidR="00B26CC3">
        <w:rPr>
          <w:rFonts w:cs="Calibri"/>
          <w:noProof/>
        </w:rPr>
        <w:t>,</w:t>
      </w:r>
      <w:r w:rsidRPr="006C0974">
        <w:rPr>
          <w:rFonts w:cs="Calibri"/>
          <w:noProof/>
        </w:rPr>
        <w:t xml:space="preserve"> or </w:t>
      </w:r>
      <w:r w:rsidR="00B26CC3">
        <w:rPr>
          <w:rFonts w:cs="Calibri"/>
          <w:noProof/>
        </w:rPr>
        <w:t>ensure the order is</w:t>
      </w:r>
      <w:r>
        <w:rPr>
          <w:rFonts w:cs="Calibri"/>
          <w:noProof/>
        </w:rPr>
        <w:t xml:space="preserve"> otherwise self-executing</w:t>
      </w:r>
      <w:r w:rsidRPr="006C0974">
        <w:rPr>
          <w:rFonts w:cs="Calibri"/>
          <w:noProof/>
        </w:rPr>
        <w:t>.</w:t>
      </w:r>
      <w:r>
        <w:rPr>
          <w:rFonts w:cs="Calibri"/>
          <w:noProof/>
        </w:rPr>
        <w:t xml:space="preserve"> Example wording might be, </w:t>
      </w:r>
      <w:r w:rsidRPr="00905116">
        <w:rPr>
          <w:rFonts w:cs="Calibri"/>
          <w:i/>
          <w:noProof/>
        </w:rPr>
        <w:t xml:space="preserve">“This order is to remain in force until further order of this </w:t>
      </w:r>
      <w:r>
        <w:rPr>
          <w:rFonts w:cs="Calibri"/>
          <w:i/>
          <w:noProof/>
        </w:rPr>
        <w:t>Court</w:t>
      </w:r>
      <w:r w:rsidRPr="00905116">
        <w:rPr>
          <w:rFonts w:cs="Calibri"/>
          <w:i/>
          <w:noProof/>
        </w:rPr>
        <w:t>, or such other time as the charges are withdrawn or determined according to law”.</w:t>
      </w:r>
    </w:p>
    <w:p w14:paraId="75EE563D" w14:textId="77777777" w:rsidR="00E03594" w:rsidRDefault="000E1464" w:rsidP="00905116">
      <w:pPr>
        <w:spacing w:after="0"/>
        <w:jc w:val="both"/>
        <w:rPr>
          <w:rFonts w:cs="Calibri"/>
          <w:noProof/>
        </w:rPr>
      </w:pPr>
      <w:r>
        <w:rPr>
          <w:rFonts w:cs="Calibri"/>
          <w:noProof/>
        </w:rPr>
        <w:t xml:space="preserve">As an exception to the above, there are certain matters involving sexual offence victims, child victims/witnesses, and national security issues, and other specialised circumstances, where legislation may have the effect that protections extend past the conclusion of the proceedings. </w:t>
      </w:r>
    </w:p>
    <w:p w14:paraId="536F64C2" w14:textId="77777777" w:rsidR="00E03594" w:rsidRPr="007541F2" w:rsidRDefault="00E03594" w:rsidP="00E03594">
      <w:pPr>
        <w:pStyle w:val="Heading2"/>
        <w:numPr>
          <w:ilvl w:val="0"/>
          <w:numId w:val="14"/>
        </w:numPr>
        <w:rPr>
          <w:rFonts w:cs="Calibri"/>
          <w:noProof/>
        </w:rPr>
      </w:pPr>
      <w:bookmarkStart w:id="18" w:name="_Toc58916922"/>
      <w:bookmarkStart w:id="19" w:name="_Toc64462157"/>
      <w:r w:rsidRPr="00840407">
        <w:rPr>
          <w:noProof/>
        </w:rPr>
        <w:t>Defence</w:t>
      </w:r>
      <w:r w:rsidRPr="00840407">
        <w:rPr>
          <w:rFonts w:cs="Calibri"/>
          <w:noProof/>
        </w:rPr>
        <w:t xml:space="preserve"> </w:t>
      </w:r>
      <w:r w:rsidRPr="00840407">
        <w:rPr>
          <w:noProof/>
        </w:rPr>
        <w:t>Application</w:t>
      </w:r>
      <w:r w:rsidRPr="00840407">
        <w:rPr>
          <w:rFonts w:cs="Calibri"/>
          <w:noProof/>
        </w:rPr>
        <w:t xml:space="preserve"> for a </w:t>
      </w:r>
      <w:r w:rsidRPr="00840407">
        <w:rPr>
          <w:noProof/>
        </w:rPr>
        <w:t>Suppression</w:t>
      </w:r>
      <w:r w:rsidRPr="00840407">
        <w:rPr>
          <w:rFonts w:cs="Calibri"/>
          <w:noProof/>
        </w:rPr>
        <w:t xml:space="preserve"> Order</w:t>
      </w:r>
      <w:bookmarkEnd w:id="18"/>
      <w:bookmarkEnd w:id="19"/>
    </w:p>
    <w:p w14:paraId="73795764" w14:textId="77777777" w:rsidR="00E03594" w:rsidRPr="006C0974" w:rsidRDefault="00E03594" w:rsidP="00E03594">
      <w:pPr>
        <w:spacing w:after="0" w:line="240" w:lineRule="atLeast"/>
        <w:contextualSpacing/>
        <w:jc w:val="both"/>
        <w:rPr>
          <w:rFonts w:cs="Calibri"/>
          <w:noProof/>
        </w:rPr>
      </w:pPr>
      <w:r>
        <w:rPr>
          <w:rFonts w:cs="Calibri"/>
          <w:noProof/>
        </w:rPr>
        <w:t xml:space="preserve">Where the defence make application for a suppression order, the prosecutor’s role is to </w:t>
      </w:r>
      <w:r w:rsidR="00D77903">
        <w:rPr>
          <w:rFonts w:cs="Calibri"/>
          <w:noProof/>
        </w:rPr>
        <w:t xml:space="preserve">assist the court and to </w:t>
      </w:r>
      <w:r>
        <w:rPr>
          <w:rFonts w:cs="Calibri"/>
          <w:noProof/>
        </w:rPr>
        <w:t>carefully consider whether:</w:t>
      </w:r>
    </w:p>
    <w:p w14:paraId="111A8D45" w14:textId="77777777" w:rsidR="00E03594" w:rsidRPr="006C0974" w:rsidRDefault="00E03594" w:rsidP="00E03594">
      <w:pPr>
        <w:pStyle w:val="ListParagraph"/>
        <w:numPr>
          <w:ilvl w:val="0"/>
          <w:numId w:val="13"/>
        </w:numPr>
        <w:suppressAutoHyphens w:val="0"/>
        <w:spacing w:after="0" w:line="240" w:lineRule="atLeast"/>
        <w:jc w:val="both"/>
        <w:rPr>
          <w:rFonts w:cs="Calibri"/>
          <w:noProof/>
        </w:rPr>
      </w:pPr>
      <w:r w:rsidRPr="006C0974">
        <w:rPr>
          <w:rFonts w:cs="Calibri"/>
          <w:noProof/>
        </w:rPr>
        <w:t xml:space="preserve">there is </w:t>
      </w:r>
      <w:r>
        <w:rPr>
          <w:rFonts w:cs="Calibri"/>
          <w:noProof/>
        </w:rPr>
        <w:t>a</w:t>
      </w:r>
      <w:r w:rsidRPr="006C0974">
        <w:rPr>
          <w:rFonts w:cs="Calibri"/>
          <w:noProof/>
        </w:rPr>
        <w:t xml:space="preserve"> proper basis for an order applying the criteria </w:t>
      </w:r>
      <w:r>
        <w:rPr>
          <w:rFonts w:cs="Calibri"/>
          <w:noProof/>
        </w:rPr>
        <w:t xml:space="preserve">relevant </w:t>
      </w:r>
      <w:r w:rsidRPr="006C0974">
        <w:rPr>
          <w:rFonts w:cs="Calibri"/>
          <w:noProof/>
        </w:rPr>
        <w:t xml:space="preserve">to making an application for a suppression order outlined </w:t>
      </w:r>
      <w:r>
        <w:rPr>
          <w:rFonts w:cs="Calibri"/>
          <w:noProof/>
        </w:rPr>
        <w:t>above</w:t>
      </w:r>
      <w:r w:rsidRPr="006C0974">
        <w:rPr>
          <w:rFonts w:cs="Calibri"/>
          <w:noProof/>
        </w:rPr>
        <w:t xml:space="preserve">; </w:t>
      </w:r>
      <w:r>
        <w:rPr>
          <w:rFonts w:cs="Calibri"/>
          <w:noProof/>
        </w:rPr>
        <w:t>and</w:t>
      </w:r>
    </w:p>
    <w:p w14:paraId="42AA3FF2" w14:textId="77777777" w:rsidR="00E03594" w:rsidRPr="007541F2" w:rsidRDefault="00E03594" w:rsidP="00E03594">
      <w:pPr>
        <w:pStyle w:val="ListParagraph"/>
        <w:numPr>
          <w:ilvl w:val="0"/>
          <w:numId w:val="13"/>
        </w:numPr>
        <w:suppressAutoHyphens w:val="0"/>
        <w:spacing w:after="0" w:line="240" w:lineRule="atLeast"/>
        <w:jc w:val="both"/>
        <w:rPr>
          <w:rFonts w:cs="Calibri"/>
          <w:noProof/>
        </w:rPr>
      </w:pPr>
      <w:r>
        <w:rPr>
          <w:rFonts w:cs="Calibri"/>
          <w:noProof/>
        </w:rPr>
        <w:t>to ensure the court</w:t>
      </w:r>
      <w:r w:rsidRPr="006C0974">
        <w:rPr>
          <w:rFonts w:cs="Calibri"/>
          <w:noProof/>
        </w:rPr>
        <w:t xml:space="preserve"> has </w:t>
      </w:r>
      <w:r>
        <w:rPr>
          <w:rFonts w:cs="Calibri"/>
          <w:noProof/>
        </w:rPr>
        <w:t xml:space="preserve">not </w:t>
      </w:r>
      <w:r w:rsidRPr="006C0974">
        <w:rPr>
          <w:rFonts w:cs="Calibri"/>
          <w:noProof/>
        </w:rPr>
        <w:t>been misled about a matter of fact or law.</w:t>
      </w:r>
    </w:p>
    <w:p w14:paraId="18640361" w14:textId="77777777" w:rsidR="00E03594" w:rsidRDefault="00E03594" w:rsidP="00E03594">
      <w:pPr>
        <w:spacing w:after="0"/>
        <w:jc w:val="both"/>
        <w:rPr>
          <w:rFonts w:cs="Calibri"/>
          <w:noProof/>
        </w:rPr>
      </w:pPr>
      <w:r w:rsidRPr="006C0974">
        <w:rPr>
          <w:rFonts w:cs="Calibri"/>
          <w:noProof/>
        </w:rPr>
        <w:t>Prosecutors should guard against any tendency for orders to be made without a proper basis or as a matter of course in particular types of matters, for example child exploitation matters.  Prosecutors should discuss these</w:t>
      </w:r>
      <w:r w:rsidR="00DA5EA8">
        <w:rPr>
          <w:rFonts w:cs="Calibri"/>
          <w:noProof/>
        </w:rPr>
        <w:t xml:space="preserve"> issues with their Branch H</w:t>
      </w:r>
      <w:r>
        <w:rPr>
          <w:rFonts w:cs="Calibri"/>
          <w:noProof/>
        </w:rPr>
        <w:t>ead</w:t>
      </w:r>
      <w:r w:rsidR="004C1115">
        <w:rPr>
          <w:rFonts w:cs="Calibri"/>
          <w:noProof/>
        </w:rPr>
        <w:t xml:space="preserve"> and PGL</w:t>
      </w:r>
      <w:r>
        <w:rPr>
          <w:rFonts w:cs="Calibri"/>
          <w:noProof/>
        </w:rPr>
        <w:t xml:space="preserve"> in order to determine the appropriate approach to take.  Where one or both of the issues outlined above is present, intervention by the prosecutor will be appropriate in order to assist the court, as a merely neutral stance may be misinterpreted</w:t>
      </w:r>
      <w:r w:rsidR="00877288">
        <w:rPr>
          <w:rFonts w:cs="Calibri"/>
          <w:noProof/>
        </w:rPr>
        <w:t xml:space="preserve"> by the court</w:t>
      </w:r>
      <w:r>
        <w:rPr>
          <w:rFonts w:cs="Calibri"/>
          <w:noProof/>
        </w:rPr>
        <w:t xml:space="preserve"> as acquiescence </w:t>
      </w:r>
      <w:r w:rsidR="00877288">
        <w:rPr>
          <w:rFonts w:cs="Calibri"/>
          <w:noProof/>
        </w:rPr>
        <w:t>to</w:t>
      </w:r>
      <w:r>
        <w:rPr>
          <w:rFonts w:cs="Calibri"/>
          <w:noProof/>
        </w:rPr>
        <w:t xml:space="preserve"> the defence application.</w:t>
      </w:r>
    </w:p>
    <w:p w14:paraId="4FE25942" w14:textId="77777777" w:rsidR="00E03594" w:rsidRPr="00395B94" w:rsidRDefault="00E03594" w:rsidP="00E03594">
      <w:pPr>
        <w:spacing w:after="0"/>
        <w:jc w:val="both"/>
        <w:rPr>
          <w:rFonts w:cs="Calibri"/>
          <w:b/>
          <w:noProof/>
        </w:rPr>
      </w:pPr>
      <w:r w:rsidRPr="00395B94">
        <w:rPr>
          <w:rFonts w:cs="Calibri"/>
          <w:b/>
          <w:noProof/>
        </w:rPr>
        <w:t>Grounds which are insufficient to just</w:t>
      </w:r>
      <w:r>
        <w:rPr>
          <w:rFonts w:cs="Calibri"/>
          <w:b/>
          <w:noProof/>
        </w:rPr>
        <w:t>i</w:t>
      </w:r>
      <w:r w:rsidRPr="00395B94">
        <w:rPr>
          <w:rFonts w:cs="Calibri"/>
          <w:b/>
          <w:noProof/>
        </w:rPr>
        <w:t xml:space="preserve">fy </w:t>
      </w:r>
      <w:r>
        <w:rPr>
          <w:rFonts w:cs="Calibri"/>
          <w:b/>
          <w:noProof/>
        </w:rPr>
        <w:t xml:space="preserve">the making of </w:t>
      </w:r>
      <w:r w:rsidRPr="00395B94">
        <w:rPr>
          <w:rFonts w:cs="Calibri"/>
          <w:b/>
          <w:noProof/>
        </w:rPr>
        <w:t>a suppression order</w:t>
      </w:r>
    </w:p>
    <w:p w14:paraId="3EE4052E" w14:textId="26C30AE8" w:rsidR="00426F7C" w:rsidRDefault="00E03594" w:rsidP="00E03594">
      <w:pPr>
        <w:spacing w:after="0"/>
        <w:jc w:val="both"/>
        <w:rPr>
          <w:rFonts w:cs="Calibri"/>
          <w:b/>
          <w:noProof/>
        </w:rPr>
      </w:pPr>
      <w:r w:rsidRPr="00395B94">
        <w:rPr>
          <w:rFonts w:cs="Calibri"/>
          <w:noProof/>
        </w:rPr>
        <w:t xml:space="preserve">Personal embarrassment or damage to </w:t>
      </w:r>
      <w:r>
        <w:rPr>
          <w:rFonts w:cs="Calibri"/>
          <w:noProof/>
        </w:rPr>
        <w:t xml:space="preserve">the </w:t>
      </w:r>
      <w:r w:rsidRPr="00395B94">
        <w:rPr>
          <w:rFonts w:cs="Calibri"/>
          <w:noProof/>
        </w:rPr>
        <w:t xml:space="preserve">reputation </w:t>
      </w:r>
      <w:r>
        <w:rPr>
          <w:rFonts w:cs="Calibri"/>
          <w:noProof/>
        </w:rPr>
        <w:t xml:space="preserve">of the accused, their family, </w:t>
      </w:r>
      <w:r w:rsidRPr="00395B94">
        <w:rPr>
          <w:rFonts w:cs="Calibri"/>
          <w:noProof/>
        </w:rPr>
        <w:t>or defence witnesses (subject to some exceptions for certai</w:t>
      </w:r>
      <w:r>
        <w:rPr>
          <w:rFonts w:cs="Calibri"/>
          <w:noProof/>
        </w:rPr>
        <w:t>n classes of victims of crime)</w:t>
      </w:r>
      <w:r>
        <w:rPr>
          <w:rStyle w:val="FootnoteReference"/>
          <w:rFonts w:cs="Calibri"/>
          <w:noProof/>
        </w:rPr>
        <w:footnoteReference w:id="17"/>
      </w:r>
      <w:r>
        <w:rPr>
          <w:rFonts w:cs="Calibri"/>
          <w:noProof/>
        </w:rPr>
        <w:t xml:space="preserve"> </w:t>
      </w:r>
      <w:r w:rsidRPr="00395B94">
        <w:rPr>
          <w:rFonts w:cs="Calibri"/>
          <w:noProof/>
        </w:rPr>
        <w:t>is not a proper basis for a suppression order.</w:t>
      </w:r>
      <w:r>
        <w:rPr>
          <w:rStyle w:val="FootnoteReference"/>
          <w:rFonts w:cs="Calibri"/>
          <w:noProof/>
        </w:rPr>
        <w:footnoteReference w:id="18"/>
      </w:r>
    </w:p>
    <w:p w14:paraId="4CA78968" w14:textId="77777777" w:rsidR="00E03594" w:rsidRPr="00395B94" w:rsidRDefault="00E03594" w:rsidP="00E03594">
      <w:pPr>
        <w:spacing w:after="0"/>
        <w:jc w:val="both"/>
        <w:rPr>
          <w:rFonts w:cs="Calibri"/>
          <w:b/>
          <w:noProof/>
        </w:rPr>
      </w:pPr>
      <w:r w:rsidRPr="00395B94">
        <w:rPr>
          <w:rFonts w:cs="Calibri"/>
          <w:b/>
          <w:noProof/>
        </w:rPr>
        <w:t>Approval</w:t>
      </w:r>
      <w:r>
        <w:rPr>
          <w:rFonts w:cs="Calibri"/>
          <w:b/>
          <w:noProof/>
        </w:rPr>
        <w:t xml:space="preserve"> </w:t>
      </w:r>
      <w:r w:rsidR="00D77903">
        <w:rPr>
          <w:rFonts w:cs="Calibri"/>
          <w:b/>
          <w:noProof/>
        </w:rPr>
        <w:t>of approach to be taken on</w:t>
      </w:r>
      <w:r>
        <w:rPr>
          <w:rFonts w:cs="Calibri"/>
          <w:b/>
          <w:noProof/>
        </w:rPr>
        <w:t xml:space="preserve"> a defence application</w:t>
      </w:r>
    </w:p>
    <w:p w14:paraId="524F3080" w14:textId="23862034" w:rsidR="00E03594" w:rsidRPr="006C0974" w:rsidRDefault="00E03594" w:rsidP="00E03594">
      <w:pPr>
        <w:spacing w:after="0"/>
        <w:jc w:val="both"/>
        <w:rPr>
          <w:rFonts w:cs="Calibri"/>
          <w:noProof/>
        </w:rPr>
      </w:pPr>
      <w:r w:rsidRPr="006C0974">
        <w:rPr>
          <w:rFonts w:cs="Calibri"/>
          <w:noProof/>
        </w:rPr>
        <w:t xml:space="preserve">The relevant </w:t>
      </w:r>
      <w:r w:rsidR="001E1557">
        <w:rPr>
          <w:rFonts w:cs="Calibri"/>
          <w:noProof/>
        </w:rPr>
        <w:t>P</w:t>
      </w:r>
      <w:r w:rsidR="004C1115">
        <w:rPr>
          <w:rFonts w:cs="Calibri"/>
          <w:noProof/>
        </w:rPr>
        <w:t>GL</w:t>
      </w:r>
      <w:r>
        <w:rPr>
          <w:rFonts w:cs="Calibri"/>
          <w:noProof/>
        </w:rPr>
        <w:t xml:space="preserve"> </w:t>
      </w:r>
      <w:r w:rsidRPr="006C0974">
        <w:rPr>
          <w:rFonts w:cs="Calibri"/>
          <w:noProof/>
        </w:rPr>
        <w:t xml:space="preserve">must approve </w:t>
      </w:r>
      <w:r w:rsidR="00D77903">
        <w:rPr>
          <w:rFonts w:cs="Calibri"/>
          <w:noProof/>
        </w:rPr>
        <w:t>the approach to be taken, whether that be</w:t>
      </w:r>
      <w:r w:rsidRPr="006C0974">
        <w:rPr>
          <w:rFonts w:cs="Calibri"/>
          <w:noProof/>
        </w:rPr>
        <w:t xml:space="preserve"> opposing</w:t>
      </w:r>
      <w:r w:rsidR="00D77903">
        <w:rPr>
          <w:rFonts w:cs="Calibri"/>
          <w:noProof/>
        </w:rPr>
        <w:t>,</w:t>
      </w:r>
      <w:r w:rsidRPr="006C0974">
        <w:rPr>
          <w:rFonts w:cs="Calibri"/>
          <w:noProof/>
        </w:rPr>
        <w:t xml:space="preserve"> supporting </w:t>
      </w:r>
      <w:r w:rsidR="00D77903">
        <w:rPr>
          <w:rFonts w:cs="Calibri"/>
          <w:noProof/>
        </w:rPr>
        <w:t xml:space="preserve">or </w:t>
      </w:r>
      <w:r w:rsidR="000E1464">
        <w:rPr>
          <w:rFonts w:cs="Calibri"/>
          <w:noProof/>
        </w:rPr>
        <w:t>taking a</w:t>
      </w:r>
      <w:r w:rsidR="00D77903">
        <w:rPr>
          <w:rFonts w:cs="Calibri"/>
          <w:noProof/>
        </w:rPr>
        <w:t xml:space="preserve"> neutral </w:t>
      </w:r>
      <w:r w:rsidR="000E1464">
        <w:rPr>
          <w:rFonts w:cs="Calibri"/>
          <w:noProof/>
        </w:rPr>
        <w:t>stance to</w:t>
      </w:r>
      <w:r w:rsidR="00D77903">
        <w:rPr>
          <w:rFonts w:cs="Calibri"/>
          <w:noProof/>
        </w:rPr>
        <w:t xml:space="preserve"> the </w:t>
      </w:r>
      <w:r w:rsidRPr="006C0974">
        <w:rPr>
          <w:rFonts w:cs="Calibri"/>
          <w:noProof/>
        </w:rPr>
        <w:t>defence application for a suppression order</w:t>
      </w:r>
      <w:r>
        <w:rPr>
          <w:rFonts w:cs="Calibri"/>
          <w:noProof/>
        </w:rPr>
        <w:t xml:space="preserve"> (see Decision Making Matrix)</w:t>
      </w:r>
      <w:r w:rsidRPr="006C0974">
        <w:rPr>
          <w:rFonts w:cs="Calibri"/>
          <w:noProof/>
        </w:rPr>
        <w:t xml:space="preserve">.  If the prosecution has not been forewarned that an application will be made it may be necessary for the prosecutor to seek a short adjournment to allow him or her to discuss the matter with the </w:t>
      </w:r>
      <w:r w:rsidR="004C1115">
        <w:rPr>
          <w:rFonts w:cs="Calibri"/>
          <w:noProof/>
        </w:rPr>
        <w:t>P</w:t>
      </w:r>
      <w:r w:rsidR="00720F27">
        <w:rPr>
          <w:rFonts w:cs="Calibri"/>
          <w:noProof/>
        </w:rPr>
        <w:t>GL</w:t>
      </w:r>
      <w:r>
        <w:rPr>
          <w:rFonts w:cs="Calibri"/>
          <w:noProof/>
        </w:rPr>
        <w:t xml:space="preserve">. </w:t>
      </w:r>
      <w:r w:rsidR="00877288">
        <w:rPr>
          <w:rFonts w:cs="Calibri"/>
          <w:noProof/>
        </w:rPr>
        <w:t xml:space="preserve"> </w:t>
      </w:r>
      <w:r>
        <w:rPr>
          <w:rFonts w:cs="Calibri"/>
          <w:noProof/>
        </w:rPr>
        <w:t xml:space="preserve">Prosecutors should create a decision task in CaseHQ reflecting those discussions and </w:t>
      </w:r>
      <w:r w:rsidR="00D77903">
        <w:rPr>
          <w:rFonts w:cs="Calibri"/>
          <w:noProof/>
        </w:rPr>
        <w:t>the decision</w:t>
      </w:r>
      <w:r>
        <w:rPr>
          <w:rFonts w:cs="Calibri"/>
          <w:noProof/>
        </w:rPr>
        <w:t>.</w:t>
      </w:r>
    </w:p>
    <w:p w14:paraId="4304708C" w14:textId="77777777" w:rsidR="00E03594" w:rsidRDefault="00E03594" w:rsidP="00E03594">
      <w:pPr>
        <w:spacing w:after="0"/>
        <w:jc w:val="both"/>
        <w:rPr>
          <w:rFonts w:cs="Calibri"/>
          <w:noProof/>
        </w:rPr>
      </w:pPr>
      <w:r w:rsidRPr="005D44B4">
        <w:rPr>
          <w:rFonts w:cs="Calibri"/>
          <w:noProof/>
        </w:rPr>
        <w:t>In considering the prosecution’s stance on a defence application for a suppression or</w:t>
      </w:r>
      <w:r w:rsidR="00D77903">
        <w:rPr>
          <w:rFonts w:cs="Calibri"/>
          <w:noProof/>
        </w:rPr>
        <w:t>d</w:t>
      </w:r>
      <w:r w:rsidRPr="005D44B4">
        <w:rPr>
          <w:rFonts w:cs="Calibri"/>
          <w:noProof/>
        </w:rPr>
        <w:t xml:space="preserve">er, the </w:t>
      </w:r>
      <w:r w:rsidR="004C1115">
        <w:rPr>
          <w:rFonts w:cs="Calibri"/>
          <w:noProof/>
        </w:rPr>
        <w:t>P</w:t>
      </w:r>
      <w:r w:rsidR="00720F27">
        <w:rPr>
          <w:rFonts w:cs="Calibri"/>
          <w:noProof/>
        </w:rPr>
        <w:t>GL</w:t>
      </w:r>
      <w:r w:rsidR="004C1115">
        <w:rPr>
          <w:rFonts w:cs="Calibri"/>
          <w:noProof/>
        </w:rPr>
        <w:t xml:space="preserve"> </w:t>
      </w:r>
      <w:r w:rsidRPr="005D44B4">
        <w:rPr>
          <w:rFonts w:cs="Calibri"/>
          <w:noProof/>
        </w:rPr>
        <w:t xml:space="preserve">should have regard to the </w:t>
      </w:r>
      <w:r w:rsidR="000E1464">
        <w:rPr>
          <w:rFonts w:cs="Calibri"/>
          <w:noProof/>
        </w:rPr>
        <w:t>factors</w:t>
      </w:r>
      <w:r w:rsidR="00D77903" w:rsidRPr="005D44B4">
        <w:rPr>
          <w:rFonts w:cs="Calibri"/>
          <w:noProof/>
        </w:rPr>
        <w:t xml:space="preserve"> </w:t>
      </w:r>
      <w:r w:rsidR="00720F27">
        <w:rPr>
          <w:rFonts w:cs="Calibri"/>
          <w:noProof/>
        </w:rPr>
        <w:t xml:space="preserve">and principles </w:t>
      </w:r>
      <w:r w:rsidR="00D77903" w:rsidRPr="005D44B4">
        <w:rPr>
          <w:rFonts w:cs="Calibri"/>
          <w:noProof/>
        </w:rPr>
        <w:t xml:space="preserve">outlined in </w:t>
      </w:r>
      <w:r w:rsidR="00B26CC3">
        <w:rPr>
          <w:rFonts w:cs="Calibri"/>
          <w:noProof/>
        </w:rPr>
        <w:t>Part</w:t>
      </w:r>
      <w:r w:rsidR="00720F27">
        <w:rPr>
          <w:rFonts w:cs="Calibri"/>
          <w:noProof/>
        </w:rPr>
        <w:t>s 1 and</w:t>
      </w:r>
      <w:r w:rsidRPr="005D44B4">
        <w:rPr>
          <w:rFonts w:cs="Calibri"/>
          <w:noProof/>
        </w:rPr>
        <w:t xml:space="preserve"> </w:t>
      </w:r>
      <w:r w:rsidR="00D77903" w:rsidRPr="005D44B4">
        <w:rPr>
          <w:rFonts w:cs="Calibri"/>
          <w:noProof/>
        </w:rPr>
        <w:t xml:space="preserve">3 that </w:t>
      </w:r>
      <w:r w:rsidR="000E1464">
        <w:rPr>
          <w:rFonts w:cs="Calibri"/>
          <w:noProof/>
        </w:rPr>
        <w:t xml:space="preserve">pertain to </w:t>
      </w:r>
      <w:r w:rsidR="00D77903" w:rsidRPr="005D44B4">
        <w:rPr>
          <w:rFonts w:cs="Calibri"/>
          <w:noProof/>
        </w:rPr>
        <w:t>making an application for a suppression order</w:t>
      </w:r>
      <w:r w:rsidRPr="005D44B4">
        <w:rPr>
          <w:rFonts w:cs="Calibri"/>
          <w:noProof/>
        </w:rPr>
        <w:t>.</w:t>
      </w:r>
      <w:r>
        <w:rPr>
          <w:rFonts w:cs="Calibri"/>
          <w:noProof/>
        </w:rPr>
        <w:t xml:space="preserve"> </w:t>
      </w:r>
    </w:p>
    <w:p w14:paraId="1C5E80BB" w14:textId="77777777" w:rsidR="00E03594" w:rsidRPr="00181C3C" w:rsidRDefault="00E03594" w:rsidP="00E03594">
      <w:pPr>
        <w:spacing w:after="0"/>
        <w:jc w:val="both"/>
        <w:rPr>
          <w:rFonts w:cs="Calibri"/>
          <w:b/>
          <w:noProof/>
        </w:rPr>
      </w:pPr>
      <w:r w:rsidRPr="00181C3C">
        <w:rPr>
          <w:rFonts w:cs="Calibri"/>
          <w:b/>
          <w:noProof/>
        </w:rPr>
        <w:t>Duration of an order</w:t>
      </w:r>
    </w:p>
    <w:p w14:paraId="707D3F8D" w14:textId="77777777" w:rsidR="00E03594" w:rsidRDefault="000E1464" w:rsidP="00905116">
      <w:pPr>
        <w:spacing w:after="0"/>
        <w:jc w:val="both"/>
        <w:rPr>
          <w:rFonts w:cs="Calibri"/>
          <w:noProof/>
        </w:rPr>
      </w:pPr>
      <w:r>
        <w:rPr>
          <w:rFonts w:cs="Calibri"/>
          <w:noProof/>
        </w:rPr>
        <w:t>As discussed in Part 3, p</w:t>
      </w:r>
      <w:r w:rsidRPr="006C0974">
        <w:rPr>
          <w:rFonts w:cs="Calibri"/>
          <w:noProof/>
        </w:rPr>
        <w:t xml:space="preserve">rosecutors should </w:t>
      </w:r>
      <w:r>
        <w:rPr>
          <w:rFonts w:cs="Calibri"/>
          <w:noProof/>
        </w:rPr>
        <w:t>submit to the court that</w:t>
      </w:r>
      <w:r w:rsidRPr="006C0974">
        <w:rPr>
          <w:rFonts w:cs="Calibri"/>
          <w:noProof/>
        </w:rPr>
        <w:t xml:space="preserve"> </w:t>
      </w:r>
      <w:r>
        <w:rPr>
          <w:rFonts w:cs="Calibri"/>
          <w:noProof/>
        </w:rPr>
        <w:t>the</w:t>
      </w:r>
      <w:r w:rsidRPr="006C0974">
        <w:rPr>
          <w:rFonts w:cs="Calibri"/>
          <w:noProof/>
        </w:rPr>
        <w:t xml:space="preserve"> suppression order </w:t>
      </w:r>
      <w:r>
        <w:rPr>
          <w:rFonts w:cs="Calibri"/>
          <w:noProof/>
        </w:rPr>
        <w:t xml:space="preserve">should </w:t>
      </w:r>
      <w:r w:rsidRPr="006C0974">
        <w:rPr>
          <w:rFonts w:cs="Calibri"/>
          <w:noProof/>
        </w:rPr>
        <w:t>have a</w:t>
      </w:r>
      <w:r>
        <w:rPr>
          <w:rFonts w:cs="Calibri"/>
          <w:noProof/>
        </w:rPr>
        <w:t>n end date, or otherwise be self-executing, (subject to the sta</w:t>
      </w:r>
      <w:r w:rsidR="00DA5EA8">
        <w:rPr>
          <w:rFonts w:cs="Calibri"/>
          <w:noProof/>
        </w:rPr>
        <w:t>tutory exceptions noted above).</w:t>
      </w:r>
    </w:p>
    <w:p w14:paraId="0FFBF837" w14:textId="77777777" w:rsidR="00401F05" w:rsidRDefault="00401F05" w:rsidP="00401F05">
      <w:pPr>
        <w:pStyle w:val="Heading2"/>
        <w:numPr>
          <w:ilvl w:val="0"/>
          <w:numId w:val="14"/>
        </w:numPr>
        <w:rPr>
          <w:noProof/>
        </w:rPr>
      </w:pPr>
      <w:bookmarkStart w:id="20" w:name="_Toc58916923"/>
      <w:bookmarkStart w:id="21" w:name="_Toc64462158"/>
      <w:r>
        <w:rPr>
          <w:noProof/>
        </w:rPr>
        <w:t>Applications made by other Commonwealth entities</w:t>
      </w:r>
      <w:bookmarkEnd w:id="20"/>
      <w:bookmarkEnd w:id="21"/>
    </w:p>
    <w:p w14:paraId="506E1059" w14:textId="77777777" w:rsidR="00401F05" w:rsidRDefault="00401F05" w:rsidP="00905116">
      <w:pPr>
        <w:spacing w:after="0"/>
        <w:jc w:val="both"/>
        <w:rPr>
          <w:rFonts w:cs="Calibri"/>
          <w:noProof/>
        </w:rPr>
      </w:pPr>
      <w:r>
        <w:rPr>
          <w:rFonts w:cs="Calibri"/>
          <w:noProof/>
        </w:rPr>
        <w:t xml:space="preserve">There </w:t>
      </w:r>
      <w:r w:rsidR="004C1115">
        <w:rPr>
          <w:rFonts w:cs="Calibri"/>
          <w:noProof/>
        </w:rPr>
        <w:t>will</w:t>
      </w:r>
      <w:r>
        <w:rPr>
          <w:rFonts w:cs="Calibri"/>
          <w:noProof/>
        </w:rPr>
        <w:t xml:space="preserve"> be instances in CDPP prosecutions where other Commonwealth </w:t>
      </w:r>
      <w:r w:rsidR="000C5586">
        <w:rPr>
          <w:rFonts w:cs="Calibri"/>
          <w:noProof/>
        </w:rPr>
        <w:t>entities</w:t>
      </w:r>
      <w:r>
        <w:rPr>
          <w:rFonts w:cs="Calibri"/>
          <w:noProof/>
        </w:rPr>
        <w:t xml:space="preserve"> </w:t>
      </w:r>
      <w:r w:rsidR="004C1115">
        <w:rPr>
          <w:rFonts w:cs="Calibri"/>
          <w:noProof/>
        </w:rPr>
        <w:t xml:space="preserve">are best placed and </w:t>
      </w:r>
      <w:r>
        <w:rPr>
          <w:rFonts w:cs="Calibri"/>
          <w:noProof/>
        </w:rPr>
        <w:t>have sufficient standing in a matter to seek a suppression order themselves</w:t>
      </w:r>
      <w:r w:rsidR="00FE6C13">
        <w:rPr>
          <w:rFonts w:cs="Calibri"/>
          <w:noProof/>
        </w:rPr>
        <w:t xml:space="preserve"> or to be heard during a suppression order application</w:t>
      </w:r>
      <w:r>
        <w:rPr>
          <w:rFonts w:cs="Calibri"/>
          <w:noProof/>
        </w:rPr>
        <w:t xml:space="preserve">. An example is </w:t>
      </w:r>
      <w:r w:rsidR="009148A5">
        <w:rPr>
          <w:rFonts w:cs="Calibri"/>
          <w:noProof/>
        </w:rPr>
        <w:t xml:space="preserve">where </w:t>
      </w:r>
      <w:r w:rsidR="000C5586">
        <w:rPr>
          <w:rFonts w:cs="Calibri"/>
          <w:noProof/>
        </w:rPr>
        <w:t>the Australian Government Solicitor, on behalf of the Attorney-</w:t>
      </w:r>
      <w:r w:rsidR="000C5586">
        <w:rPr>
          <w:rFonts w:cs="Calibri"/>
          <w:noProof/>
        </w:rPr>
        <w:lastRenderedPageBreak/>
        <w:t>General, s</w:t>
      </w:r>
      <w:r w:rsidR="009148A5">
        <w:rPr>
          <w:rFonts w:cs="Calibri"/>
          <w:noProof/>
        </w:rPr>
        <w:t>eeks</w:t>
      </w:r>
      <w:r>
        <w:rPr>
          <w:rFonts w:cs="Calibri"/>
          <w:noProof/>
        </w:rPr>
        <w:t xml:space="preserve"> a suppression order </w:t>
      </w:r>
      <w:r w:rsidR="000C5586">
        <w:rPr>
          <w:rFonts w:cs="Calibri"/>
          <w:noProof/>
        </w:rPr>
        <w:t xml:space="preserve">where it </w:t>
      </w:r>
      <w:r>
        <w:rPr>
          <w:rFonts w:cs="Calibri"/>
          <w:noProof/>
        </w:rPr>
        <w:t xml:space="preserve">is required in the </w:t>
      </w:r>
      <w:r w:rsidR="000C5586">
        <w:rPr>
          <w:rFonts w:cs="Calibri"/>
          <w:noProof/>
        </w:rPr>
        <w:t>interests of national security.</w:t>
      </w:r>
      <w:r w:rsidR="000C5586">
        <w:rPr>
          <w:rStyle w:val="FootnoteReference"/>
          <w:rFonts w:cs="Calibri"/>
          <w:noProof/>
        </w:rPr>
        <w:footnoteReference w:id="19"/>
      </w:r>
      <w:r w:rsidR="000C5586">
        <w:rPr>
          <w:rFonts w:cs="Calibri"/>
          <w:noProof/>
        </w:rPr>
        <w:t xml:space="preserve"> </w:t>
      </w:r>
      <w:r w:rsidR="006B766B">
        <w:rPr>
          <w:rFonts w:cs="Calibri"/>
          <w:noProof/>
        </w:rPr>
        <w:t xml:space="preserve">Another example is where the Australian Government Solicitor, on behalf of the Australian Federal Police, </w:t>
      </w:r>
      <w:r w:rsidR="00911E44">
        <w:rPr>
          <w:rFonts w:cs="Calibri"/>
          <w:noProof/>
        </w:rPr>
        <w:t xml:space="preserve">may </w:t>
      </w:r>
      <w:r w:rsidR="006B766B">
        <w:rPr>
          <w:rFonts w:cs="Calibri"/>
          <w:noProof/>
        </w:rPr>
        <w:t xml:space="preserve">seek a suppression order relating to confidential </w:t>
      </w:r>
      <w:r w:rsidR="004C1115">
        <w:rPr>
          <w:rFonts w:cs="Calibri"/>
          <w:noProof/>
        </w:rPr>
        <w:t>p</w:t>
      </w:r>
      <w:r w:rsidR="006B766B">
        <w:rPr>
          <w:rFonts w:cs="Calibri"/>
          <w:noProof/>
        </w:rPr>
        <w:t xml:space="preserve">olice investigative methodologies or </w:t>
      </w:r>
      <w:r w:rsidR="005F3341">
        <w:rPr>
          <w:rFonts w:cs="Calibri"/>
          <w:noProof/>
        </w:rPr>
        <w:t xml:space="preserve">to protect the existence or </w:t>
      </w:r>
      <w:r w:rsidR="006B766B">
        <w:rPr>
          <w:rFonts w:cs="Calibri"/>
          <w:noProof/>
        </w:rPr>
        <w:t xml:space="preserve">identity of a </w:t>
      </w:r>
      <w:r w:rsidR="005F3341">
        <w:rPr>
          <w:rFonts w:cs="Calibri"/>
          <w:noProof/>
        </w:rPr>
        <w:t>p</w:t>
      </w:r>
      <w:r w:rsidR="006B766B">
        <w:rPr>
          <w:rFonts w:cs="Calibri"/>
          <w:noProof/>
        </w:rPr>
        <w:t xml:space="preserve">olice informer. </w:t>
      </w:r>
    </w:p>
    <w:p w14:paraId="29761348" w14:textId="77777777" w:rsidR="008B06B0" w:rsidRDefault="008B06B0" w:rsidP="00905116">
      <w:pPr>
        <w:spacing w:after="0"/>
        <w:jc w:val="both"/>
        <w:rPr>
          <w:rFonts w:cs="Calibri"/>
          <w:noProof/>
        </w:rPr>
      </w:pPr>
      <w:r>
        <w:rPr>
          <w:rFonts w:cs="Calibri"/>
          <w:noProof/>
        </w:rPr>
        <w:t>The CDPP will need to form a view as to its position, which may be to support, oppose or take a neutral stance</w:t>
      </w:r>
      <w:r>
        <w:rPr>
          <w:rStyle w:val="FootnoteReference"/>
          <w:rFonts w:cs="Calibri"/>
          <w:noProof/>
        </w:rPr>
        <w:footnoteReference w:id="20"/>
      </w:r>
      <w:r>
        <w:rPr>
          <w:rFonts w:cs="Calibri"/>
          <w:noProof/>
        </w:rPr>
        <w:t xml:space="preserve"> on the application.  The observations made above regarding approvals and the relevant factors to consider are equally apposite.</w:t>
      </w:r>
    </w:p>
    <w:p w14:paraId="31CE68AE" w14:textId="77777777" w:rsidR="00386ADE" w:rsidRDefault="00386ADE" w:rsidP="00386ADE">
      <w:pPr>
        <w:pStyle w:val="Heading2"/>
        <w:numPr>
          <w:ilvl w:val="0"/>
          <w:numId w:val="14"/>
        </w:numPr>
        <w:rPr>
          <w:noProof/>
        </w:rPr>
      </w:pPr>
      <w:bookmarkStart w:id="22" w:name="_Toc58916924"/>
      <w:bookmarkStart w:id="23" w:name="_Toc64462159"/>
      <w:bookmarkStart w:id="24" w:name="_Toc215386590"/>
      <w:bookmarkStart w:id="25" w:name="_Toc333487919"/>
      <w:bookmarkStart w:id="26" w:name="_Toc335136711"/>
      <w:r>
        <w:rPr>
          <w:noProof/>
        </w:rPr>
        <w:t>Templates</w:t>
      </w:r>
      <w:bookmarkEnd w:id="22"/>
      <w:bookmarkEnd w:id="23"/>
    </w:p>
    <w:bookmarkEnd w:id="24"/>
    <w:bookmarkEnd w:id="25"/>
    <w:bookmarkEnd w:id="26"/>
    <w:p w14:paraId="5692A58A" w14:textId="77777777" w:rsidR="00840407" w:rsidRDefault="00C26657" w:rsidP="00905116">
      <w:pPr>
        <w:spacing w:after="0"/>
        <w:jc w:val="both"/>
        <w:rPr>
          <w:rFonts w:cs="Calibri"/>
          <w:noProof/>
        </w:rPr>
      </w:pPr>
      <w:r>
        <w:rPr>
          <w:rFonts w:cs="Calibri"/>
          <w:noProof/>
        </w:rPr>
        <w:t xml:space="preserve">Prosecutors should </w:t>
      </w:r>
      <w:r w:rsidR="00133A8D">
        <w:rPr>
          <w:rFonts w:cs="Calibri"/>
          <w:noProof/>
        </w:rPr>
        <w:t xml:space="preserve">have regard to any relevant statutory form of order, or notice provisions contained within State and Territory legislation. Refer also to the </w:t>
      </w:r>
      <w:r>
        <w:rPr>
          <w:rFonts w:cs="Calibri"/>
          <w:noProof/>
        </w:rPr>
        <w:t xml:space="preserve">CDPP </w:t>
      </w:r>
      <w:r w:rsidR="00911E44">
        <w:rPr>
          <w:rFonts w:cs="Calibri"/>
          <w:noProof/>
        </w:rPr>
        <w:t>e</w:t>
      </w:r>
      <w:r>
        <w:rPr>
          <w:rFonts w:cs="Calibri"/>
          <w:noProof/>
        </w:rPr>
        <w:t>-</w:t>
      </w:r>
      <w:r w:rsidR="00911E44">
        <w:rPr>
          <w:rFonts w:cs="Calibri"/>
          <w:noProof/>
        </w:rPr>
        <w:t>l</w:t>
      </w:r>
      <w:r>
        <w:rPr>
          <w:rFonts w:cs="Calibri"/>
          <w:noProof/>
        </w:rPr>
        <w:t xml:space="preserve">ibrary </w:t>
      </w:r>
      <w:r w:rsidR="00133A8D">
        <w:rPr>
          <w:rFonts w:cs="Calibri"/>
          <w:noProof/>
        </w:rPr>
        <w:t xml:space="preserve">which contains </w:t>
      </w:r>
      <w:r>
        <w:rPr>
          <w:rFonts w:cs="Calibri"/>
          <w:noProof/>
        </w:rPr>
        <w:t>examples of suppression orders</w:t>
      </w:r>
      <w:r w:rsidR="00133A8D">
        <w:rPr>
          <w:rFonts w:cs="Calibri"/>
          <w:noProof/>
        </w:rPr>
        <w:t xml:space="preserve"> in various jurisdictions</w:t>
      </w:r>
      <w:r>
        <w:rPr>
          <w:rFonts w:cs="Calibri"/>
          <w:noProof/>
        </w:rPr>
        <w:t>.</w:t>
      </w:r>
      <w:r w:rsidR="00621DD6">
        <w:rPr>
          <w:rFonts w:cs="Calibri"/>
          <w:noProof/>
        </w:rPr>
        <w:t xml:space="preserve"> </w:t>
      </w:r>
    </w:p>
    <w:p w14:paraId="52E5802A" w14:textId="77777777" w:rsidR="005F3341" w:rsidRDefault="005F3341" w:rsidP="00905116">
      <w:pPr>
        <w:pStyle w:val="Heading2"/>
        <w:numPr>
          <w:ilvl w:val="0"/>
          <w:numId w:val="14"/>
        </w:numPr>
        <w:jc w:val="both"/>
        <w:rPr>
          <w:noProof/>
        </w:rPr>
      </w:pPr>
      <w:bookmarkStart w:id="27" w:name="_Toc58916925"/>
      <w:bookmarkStart w:id="28" w:name="_Toc64462160"/>
      <w:r>
        <w:rPr>
          <w:noProof/>
        </w:rPr>
        <w:t>Media Interest</w:t>
      </w:r>
      <w:bookmarkEnd w:id="27"/>
      <w:bookmarkEnd w:id="28"/>
    </w:p>
    <w:p w14:paraId="4972ADB7" w14:textId="77777777" w:rsidR="005F3341" w:rsidRPr="005D44B4" w:rsidRDefault="005F3341" w:rsidP="005D44B4">
      <w:r>
        <w:t xml:space="preserve">Prosecutors should be cognisant that media organisations may seek to oppose the making of suppression orders.  </w:t>
      </w:r>
    </w:p>
    <w:p w14:paraId="4F7F12E1" w14:textId="77777777" w:rsidR="00386ADE" w:rsidRPr="007541F2" w:rsidRDefault="00386ADE" w:rsidP="00905116">
      <w:pPr>
        <w:pStyle w:val="Heading2"/>
        <w:numPr>
          <w:ilvl w:val="0"/>
          <w:numId w:val="14"/>
        </w:numPr>
        <w:jc w:val="both"/>
        <w:rPr>
          <w:noProof/>
        </w:rPr>
      </w:pPr>
      <w:bookmarkStart w:id="29" w:name="_Toc58916926"/>
      <w:bookmarkStart w:id="30" w:name="_Toc64462161"/>
      <w:r>
        <w:rPr>
          <w:noProof/>
        </w:rPr>
        <w:t xml:space="preserve">Recording </w:t>
      </w:r>
      <w:r w:rsidRPr="00840407">
        <w:rPr>
          <w:noProof/>
        </w:rPr>
        <w:t>Suppression Orders</w:t>
      </w:r>
      <w:r>
        <w:rPr>
          <w:noProof/>
        </w:rPr>
        <w:t xml:space="preserve"> in CaseHQ</w:t>
      </w:r>
      <w:r w:rsidR="001B1E4F">
        <w:rPr>
          <w:noProof/>
        </w:rPr>
        <w:t xml:space="preserve"> and other required procedures</w:t>
      </w:r>
      <w:bookmarkEnd w:id="29"/>
      <w:bookmarkEnd w:id="30"/>
      <w:r w:rsidR="001B1E4F">
        <w:rPr>
          <w:noProof/>
        </w:rPr>
        <w:t xml:space="preserve"> </w:t>
      </w:r>
    </w:p>
    <w:p w14:paraId="590433EE" w14:textId="77777777" w:rsidR="00C26657" w:rsidRDefault="00C26657" w:rsidP="00905116">
      <w:pPr>
        <w:spacing w:after="0"/>
        <w:jc w:val="both"/>
        <w:rPr>
          <w:rFonts w:cs="Calibri"/>
          <w:noProof/>
        </w:rPr>
      </w:pPr>
      <w:r>
        <w:rPr>
          <w:rFonts w:cs="Calibri"/>
          <w:noProof/>
        </w:rPr>
        <w:t>Suppression orders must be recorded in CaseHQ.</w:t>
      </w:r>
      <w:r>
        <w:rPr>
          <w:rStyle w:val="FootnoteReference"/>
          <w:rFonts w:cs="Calibri"/>
          <w:noProof/>
        </w:rPr>
        <w:footnoteReference w:id="21"/>
      </w:r>
      <w:r w:rsidR="006B766B">
        <w:rPr>
          <w:rFonts w:cs="Calibri"/>
          <w:noProof/>
        </w:rPr>
        <w:t xml:space="preserve"> Prosecutors must </w:t>
      </w:r>
      <w:r w:rsidR="00663CCA">
        <w:rPr>
          <w:rFonts w:cs="Calibri"/>
          <w:noProof/>
        </w:rPr>
        <w:t xml:space="preserve">also </w:t>
      </w:r>
      <w:r w:rsidR="006B766B">
        <w:rPr>
          <w:rFonts w:cs="Calibri"/>
          <w:noProof/>
        </w:rPr>
        <w:t xml:space="preserve">advise </w:t>
      </w:r>
      <w:r w:rsidR="00663CCA">
        <w:rPr>
          <w:rFonts w:cs="Calibri"/>
          <w:noProof/>
        </w:rPr>
        <w:t>l</w:t>
      </w:r>
      <w:r w:rsidR="006B766B">
        <w:rPr>
          <w:rFonts w:cs="Calibri"/>
          <w:noProof/>
        </w:rPr>
        <w:t>ibrary staff</w:t>
      </w:r>
      <w:r w:rsidR="00FD4ED4">
        <w:rPr>
          <w:rFonts w:cs="Calibri"/>
          <w:noProof/>
        </w:rPr>
        <w:t xml:space="preserve"> of any suppression orders</w:t>
      </w:r>
      <w:r w:rsidR="00B26CC3">
        <w:rPr>
          <w:rFonts w:cs="Calibri"/>
          <w:noProof/>
        </w:rPr>
        <w:t xml:space="preserve"> (or the lifting of those orders)</w:t>
      </w:r>
      <w:r w:rsidR="006B766B">
        <w:rPr>
          <w:rFonts w:cs="Calibri"/>
          <w:noProof/>
        </w:rPr>
        <w:t xml:space="preserve">, </w:t>
      </w:r>
      <w:r w:rsidR="00FD4ED4">
        <w:t>noting that</w:t>
      </w:r>
      <w:r w:rsidR="006B766B">
        <w:t xml:space="preserve"> in</w:t>
      </w:r>
      <w:r w:rsidR="006B766B" w:rsidRPr="00EB3DCB">
        <w:t xml:space="preserve"> </w:t>
      </w:r>
      <w:r w:rsidR="008450EA">
        <w:t>e</w:t>
      </w:r>
      <w:r w:rsidR="006B766B" w:rsidRPr="00EB3DCB">
        <w:t>-</w:t>
      </w:r>
      <w:r w:rsidR="008450EA">
        <w:t>l</w:t>
      </w:r>
      <w:r w:rsidR="006B766B" w:rsidRPr="00EB3DCB">
        <w:t xml:space="preserve">ibrary, </w:t>
      </w:r>
      <w:r w:rsidR="006B766B">
        <w:t xml:space="preserve">any </w:t>
      </w:r>
      <w:r w:rsidR="006B766B" w:rsidRPr="00EB3DCB">
        <w:t xml:space="preserve">sentences and judgments where a suppression order exists </w:t>
      </w:r>
      <w:r w:rsidR="006B766B">
        <w:t>must be</w:t>
      </w:r>
      <w:r w:rsidR="006B766B" w:rsidRPr="00EB3DCB">
        <w:t xml:space="preserve"> marked with </w:t>
      </w:r>
      <w:r w:rsidR="006B766B">
        <w:t>red warning text</w:t>
      </w:r>
      <w:r w:rsidR="00FD4ED4">
        <w:t xml:space="preserve">. </w:t>
      </w:r>
      <w:r w:rsidR="008B06B0">
        <w:t>Where material is to be published on the CDPP’s website or annual report, or otherwise, p</w:t>
      </w:r>
      <w:r w:rsidR="00FD4ED4">
        <w:t xml:space="preserve">rosecutors must </w:t>
      </w:r>
      <w:r w:rsidR="00902D0A">
        <w:t xml:space="preserve">ensure </w:t>
      </w:r>
      <w:r w:rsidR="006B766B">
        <w:t xml:space="preserve">the </w:t>
      </w:r>
      <w:r w:rsidR="00FD4ED4" w:rsidRPr="00FD4ED4">
        <w:t xml:space="preserve">Communications and Media </w:t>
      </w:r>
      <w:r w:rsidR="00FD4ED4">
        <w:t>team</w:t>
      </w:r>
      <w:r w:rsidR="00902D0A">
        <w:t xml:space="preserve"> are aware of any limitations arising from suppression orders to ensure breaches do not occur</w:t>
      </w:r>
      <w:r w:rsidR="00FD4ED4">
        <w:t xml:space="preserve">. </w:t>
      </w:r>
    </w:p>
    <w:p w14:paraId="11490469" w14:textId="77777777" w:rsidR="002D32CA" w:rsidRDefault="00CB27B4" w:rsidP="00905116">
      <w:pPr>
        <w:pStyle w:val="Heading2"/>
        <w:numPr>
          <w:ilvl w:val="0"/>
          <w:numId w:val="14"/>
        </w:numPr>
        <w:jc w:val="both"/>
        <w:rPr>
          <w:noProof/>
        </w:rPr>
      </w:pPr>
      <w:bookmarkStart w:id="31" w:name="_Toc58916927"/>
      <w:bookmarkStart w:id="32" w:name="_Toc64462162"/>
      <w:r>
        <w:rPr>
          <w:noProof/>
        </w:rPr>
        <w:t>Breach of Suppression O</w:t>
      </w:r>
      <w:r w:rsidR="002D32CA">
        <w:rPr>
          <w:noProof/>
        </w:rPr>
        <w:t>rders</w:t>
      </w:r>
      <w:bookmarkEnd w:id="31"/>
      <w:bookmarkEnd w:id="32"/>
    </w:p>
    <w:p w14:paraId="393AE68B" w14:textId="77777777" w:rsidR="00FD4ED4" w:rsidRDefault="00FD0996" w:rsidP="00905116">
      <w:pPr>
        <w:spacing w:after="0"/>
        <w:jc w:val="both"/>
        <w:rPr>
          <w:rFonts w:cs="Calibri"/>
          <w:noProof/>
        </w:rPr>
      </w:pPr>
      <w:r w:rsidRPr="00FD0996">
        <w:rPr>
          <w:rFonts w:cs="Calibri"/>
          <w:noProof/>
        </w:rPr>
        <w:t xml:space="preserve">Breach of a statutory order is enforceable by means of </w:t>
      </w:r>
      <w:r w:rsidR="00FD4ED4">
        <w:rPr>
          <w:rFonts w:cs="Calibri"/>
          <w:noProof/>
        </w:rPr>
        <w:t xml:space="preserve">a </w:t>
      </w:r>
      <w:r w:rsidRPr="00FD0996">
        <w:rPr>
          <w:rFonts w:cs="Calibri"/>
          <w:noProof/>
        </w:rPr>
        <w:t>prosecution, whereas breach of an order based on the</w:t>
      </w:r>
      <w:r>
        <w:rPr>
          <w:rFonts w:cs="Calibri"/>
          <w:noProof/>
        </w:rPr>
        <w:t xml:space="preserve"> </w:t>
      </w:r>
      <w:r w:rsidR="00B057F2">
        <w:rPr>
          <w:rFonts w:cs="Calibri"/>
          <w:noProof/>
        </w:rPr>
        <w:t>c</w:t>
      </w:r>
      <w:r w:rsidR="00001FFB">
        <w:rPr>
          <w:rFonts w:cs="Calibri"/>
          <w:noProof/>
        </w:rPr>
        <w:t>ourt</w:t>
      </w:r>
      <w:r>
        <w:rPr>
          <w:rFonts w:cs="Calibri"/>
          <w:noProof/>
        </w:rPr>
        <w:t>’s</w:t>
      </w:r>
      <w:r w:rsidRPr="00FD0996">
        <w:rPr>
          <w:rFonts w:cs="Calibri"/>
          <w:noProof/>
        </w:rPr>
        <w:t xml:space="preserve"> inherent or implied po</w:t>
      </w:r>
      <w:r>
        <w:rPr>
          <w:rFonts w:cs="Calibri"/>
          <w:noProof/>
        </w:rPr>
        <w:t xml:space="preserve">wer is punishable as a contempt of </w:t>
      </w:r>
      <w:r w:rsidR="008450EA">
        <w:rPr>
          <w:rFonts w:cs="Calibri"/>
          <w:noProof/>
        </w:rPr>
        <w:t>c</w:t>
      </w:r>
      <w:r w:rsidR="00001FFB">
        <w:rPr>
          <w:rFonts w:cs="Calibri"/>
          <w:noProof/>
        </w:rPr>
        <w:t>ourt</w:t>
      </w:r>
      <w:r w:rsidR="00FD4ED4">
        <w:rPr>
          <w:rFonts w:cs="Calibri"/>
          <w:noProof/>
        </w:rPr>
        <w:t xml:space="preserve"> and proceedings are launched by the </w:t>
      </w:r>
      <w:r w:rsidR="00075FA8">
        <w:rPr>
          <w:rFonts w:cs="Calibri"/>
          <w:noProof/>
        </w:rPr>
        <w:t>c</w:t>
      </w:r>
      <w:r w:rsidR="00001FFB">
        <w:rPr>
          <w:rFonts w:cs="Calibri"/>
          <w:noProof/>
        </w:rPr>
        <w:t>ourt</w:t>
      </w:r>
      <w:r w:rsidR="00FD4ED4">
        <w:rPr>
          <w:rFonts w:cs="Calibri"/>
          <w:noProof/>
        </w:rPr>
        <w:t xml:space="preserve"> itself</w:t>
      </w:r>
      <w:r>
        <w:rPr>
          <w:rFonts w:cs="Calibri"/>
          <w:noProof/>
        </w:rPr>
        <w:t xml:space="preserve">. </w:t>
      </w:r>
      <w:r w:rsidR="00D60BD8">
        <w:rPr>
          <w:rFonts w:cs="Calibri"/>
          <w:noProof/>
        </w:rPr>
        <w:t>State and Territory legislation commonly includes specific offences, penalties and procedures for breach of a sta</w:t>
      </w:r>
      <w:r w:rsidR="00075FA8">
        <w:rPr>
          <w:rFonts w:cs="Calibri"/>
          <w:noProof/>
        </w:rPr>
        <w:t>t</w:t>
      </w:r>
      <w:r w:rsidR="00D60BD8">
        <w:rPr>
          <w:rFonts w:cs="Calibri"/>
          <w:noProof/>
        </w:rPr>
        <w:t xml:space="preserve">utory suppression order, and </w:t>
      </w:r>
      <w:r w:rsidR="008450EA">
        <w:rPr>
          <w:rFonts w:cs="Calibri"/>
          <w:noProof/>
        </w:rPr>
        <w:t>p</w:t>
      </w:r>
      <w:r w:rsidR="00D60BD8">
        <w:rPr>
          <w:rFonts w:cs="Calibri"/>
          <w:noProof/>
        </w:rPr>
        <w:t xml:space="preserve">rosecutors </w:t>
      </w:r>
      <w:r w:rsidR="008450EA">
        <w:rPr>
          <w:rFonts w:cs="Calibri"/>
          <w:noProof/>
        </w:rPr>
        <w:t xml:space="preserve">should have regard to </w:t>
      </w:r>
      <w:r w:rsidR="00D60BD8">
        <w:rPr>
          <w:rFonts w:cs="Calibri"/>
          <w:noProof/>
        </w:rPr>
        <w:t>legislation in their jurisdiction.</w:t>
      </w:r>
      <w:r w:rsidR="00722942">
        <w:rPr>
          <w:rFonts w:cs="Calibri"/>
          <w:noProof/>
        </w:rPr>
        <w:t xml:space="preserve"> </w:t>
      </w:r>
    </w:p>
    <w:p w14:paraId="23AB3764" w14:textId="77777777" w:rsidR="003E7D02" w:rsidRPr="006C0974" w:rsidRDefault="00FD0996" w:rsidP="00905116">
      <w:pPr>
        <w:spacing w:after="0"/>
        <w:jc w:val="both"/>
        <w:rPr>
          <w:rFonts w:cs="Calibri"/>
          <w:noProof/>
        </w:rPr>
      </w:pPr>
      <w:r>
        <w:rPr>
          <w:rFonts w:cs="Calibri"/>
          <w:noProof/>
        </w:rPr>
        <w:t xml:space="preserve">Prosecutors should consult their </w:t>
      </w:r>
      <w:r w:rsidR="00DA5EA8">
        <w:rPr>
          <w:rFonts w:cs="Calibri"/>
          <w:noProof/>
        </w:rPr>
        <w:t xml:space="preserve">Branch Head </w:t>
      </w:r>
      <w:r w:rsidR="008450EA">
        <w:rPr>
          <w:rFonts w:cs="Calibri"/>
          <w:noProof/>
        </w:rPr>
        <w:t>in</w:t>
      </w:r>
      <w:r>
        <w:rPr>
          <w:rFonts w:cs="Calibri"/>
          <w:noProof/>
        </w:rPr>
        <w:t xml:space="preserve"> any matter where </w:t>
      </w:r>
      <w:r w:rsidR="008B6C8B">
        <w:rPr>
          <w:rFonts w:cs="Calibri"/>
          <w:noProof/>
        </w:rPr>
        <w:t xml:space="preserve">it appears that there has been </w:t>
      </w:r>
      <w:r w:rsidR="002F3645">
        <w:rPr>
          <w:rFonts w:cs="Calibri"/>
          <w:noProof/>
        </w:rPr>
        <w:t xml:space="preserve">a </w:t>
      </w:r>
      <w:r w:rsidR="008B6C8B">
        <w:rPr>
          <w:rFonts w:cs="Calibri"/>
          <w:noProof/>
        </w:rPr>
        <w:t>breach of a suppression order</w:t>
      </w:r>
      <w:r>
        <w:rPr>
          <w:rFonts w:cs="Calibri"/>
          <w:noProof/>
        </w:rPr>
        <w:t>.</w:t>
      </w:r>
    </w:p>
    <w:p w14:paraId="7A78C972" w14:textId="77777777" w:rsidR="00840407" w:rsidRPr="006C0974" w:rsidRDefault="00CB27B4" w:rsidP="002A4A54">
      <w:pPr>
        <w:pStyle w:val="NLDheading"/>
      </w:pPr>
      <w:bookmarkStart w:id="33" w:name="_Toc58916928"/>
      <w:bookmarkStart w:id="34" w:name="_Toc64462163"/>
      <w:r>
        <w:t>Related R</w:t>
      </w:r>
      <w:r w:rsidR="007541F2">
        <w:t>esources</w:t>
      </w:r>
      <w:bookmarkEnd w:id="33"/>
      <w:bookmarkEnd w:id="34"/>
      <w:r w:rsidR="007541F2">
        <w:t xml:space="preserve"> </w:t>
      </w:r>
    </w:p>
    <w:p w14:paraId="06D51D9E" w14:textId="77777777" w:rsidR="00840407" w:rsidRDefault="008B6C8B" w:rsidP="00905116">
      <w:pPr>
        <w:spacing w:after="0"/>
        <w:jc w:val="both"/>
        <w:rPr>
          <w:rFonts w:cs="Calibri"/>
          <w:noProof/>
        </w:rPr>
      </w:pPr>
      <w:r>
        <w:rPr>
          <w:rFonts w:cs="Calibri"/>
          <w:noProof/>
        </w:rPr>
        <w:t>Other resources include:</w:t>
      </w:r>
    </w:p>
    <w:p w14:paraId="348CC7BC" w14:textId="7709B57B" w:rsidR="00DE363F" w:rsidRPr="00FC3A60" w:rsidRDefault="002525C4" w:rsidP="00FC3A60">
      <w:pPr>
        <w:numPr>
          <w:ilvl w:val="0"/>
          <w:numId w:val="17"/>
        </w:numPr>
        <w:spacing w:after="0"/>
        <w:jc w:val="both"/>
        <w:rPr>
          <w:rFonts w:cs="Calibri"/>
          <w:noProof/>
        </w:rPr>
      </w:pPr>
      <w:hyperlink r:id="rId8" w:history="1">
        <w:r w:rsidR="00953E80" w:rsidRPr="00CB27B4">
          <w:rPr>
            <w:rStyle w:val="Hyperlink"/>
            <w:rFonts w:cs="Calibri"/>
          </w:rPr>
          <w:t>Victims of Crime Manual</w:t>
        </w:r>
      </w:hyperlink>
      <w:r w:rsidR="00953E80">
        <w:rPr>
          <w:rFonts w:cs="Calibri"/>
        </w:rPr>
        <w:t xml:space="preserve"> – </w:t>
      </w:r>
      <w:r w:rsidR="00953E80">
        <w:rPr>
          <w:rFonts w:cs="Calibri"/>
          <w:noProof/>
        </w:rPr>
        <w:t>Paragraph 14 ‘</w:t>
      </w:r>
      <w:r w:rsidR="00953E80" w:rsidRPr="00953E80">
        <w:rPr>
          <w:rFonts w:cs="Calibri"/>
          <w:noProof/>
        </w:rPr>
        <w:t>Suppression or non publication orders</w:t>
      </w:r>
      <w:r w:rsidR="00953E80">
        <w:rPr>
          <w:rFonts w:cs="Calibri"/>
          <w:noProof/>
        </w:rPr>
        <w:t xml:space="preserve">’ and Annexure </w:t>
      </w:r>
      <w:r w:rsidR="00953E80" w:rsidRPr="00953E80">
        <w:rPr>
          <w:rFonts w:cs="Calibri"/>
          <w:noProof/>
        </w:rPr>
        <w:t>E</w:t>
      </w:r>
      <w:r w:rsidR="00953E80">
        <w:rPr>
          <w:rFonts w:cs="Calibri"/>
          <w:noProof/>
        </w:rPr>
        <w:t xml:space="preserve"> (List of relevant State and Territory</w:t>
      </w:r>
      <w:r w:rsidR="00ED3BBA">
        <w:rPr>
          <w:rFonts w:cs="Calibri"/>
          <w:noProof/>
        </w:rPr>
        <w:t xml:space="preserve"> suppression order legislation);</w:t>
      </w:r>
    </w:p>
    <w:p w14:paraId="34B2846D" w14:textId="77777777" w:rsidR="008B6C8B" w:rsidRPr="008B6C8B" w:rsidRDefault="002525C4" w:rsidP="00905116">
      <w:pPr>
        <w:numPr>
          <w:ilvl w:val="0"/>
          <w:numId w:val="17"/>
        </w:numPr>
        <w:spacing w:after="0"/>
        <w:jc w:val="both"/>
        <w:rPr>
          <w:rFonts w:cs="Calibri"/>
          <w:noProof/>
        </w:rPr>
      </w:pPr>
      <w:hyperlink r:id="rId9" w:history="1">
        <w:r w:rsidR="008B6C8B" w:rsidRPr="008B6C8B">
          <w:rPr>
            <w:rStyle w:val="Hyperlink"/>
            <w:rFonts w:cs="Calibri"/>
            <w:noProof/>
          </w:rPr>
          <w:t xml:space="preserve">National Legal Direction </w:t>
        </w:r>
        <w:r w:rsidR="008B6C8B">
          <w:rPr>
            <w:rStyle w:val="Hyperlink"/>
            <w:rFonts w:cs="Calibri"/>
            <w:noProof/>
          </w:rPr>
          <w:t>‘</w:t>
        </w:r>
        <w:r w:rsidR="008B6C8B" w:rsidRPr="008B6C8B">
          <w:rPr>
            <w:rStyle w:val="Hyperlink"/>
            <w:rFonts w:cs="Calibri"/>
            <w:i/>
            <w:noProof/>
          </w:rPr>
          <w:t>Media</w:t>
        </w:r>
      </w:hyperlink>
      <w:r w:rsidR="008B6C8B">
        <w:rPr>
          <w:rFonts w:cs="Calibri"/>
          <w:noProof/>
        </w:rPr>
        <w:t>’</w:t>
      </w:r>
      <w:r w:rsidR="00ED3BBA">
        <w:rPr>
          <w:rFonts w:cs="Calibri"/>
          <w:noProof/>
        </w:rPr>
        <w:t>;</w:t>
      </w:r>
    </w:p>
    <w:p w14:paraId="3F8F22B0" w14:textId="77777777" w:rsidR="00953E80" w:rsidRDefault="008B6C8B" w:rsidP="00905116">
      <w:pPr>
        <w:numPr>
          <w:ilvl w:val="0"/>
          <w:numId w:val="17"/>
        </w:numPr>
        <w:spacing w:after="0"/>
        <w:jc w:val="both"/>
        <w:rPr>
          <w:rFonts w:cs="Calibri"/>
          <w:noProof/>
        </w:rPr>
      </w:pPr>
      <w:r w:rsidRPr="0059438A">
        <w:rPr>
          <w:rFonts w:cs="Calibri"/>
          <w:noProof/>
        </w:rPr>
        <w:t xml:space="preserve">Guidelines and Directions Manual </w:t>
      </w:r>
      <w:r w:rsidR="008A5F87" w:rsidRPr="0059438A">
        <w:rPr>
          <w:rFonts w:cs="Calibri"/>
          <w:noProof/>
        </w:rPr>
        <w:t xml:space="preserve">Chapter on </w:t>
      </w:r>
      <w:r w:rsidR="00963ACB" w:rsidRPr="0059438A">
        <w:rPr>
          <w:rFonts w:cs="Calibri"/>
          <w:noProof/>
          <w:u w:val="single"/>
        </w:rPr>
        <w:t>‘</w:t>
      </w:r>
      <w:hyperlink r:id="rId10" w:history="1">
        <w:r w:rsidR="00963ACB" w:rsidRPr="0059438A">
          <w:rPr>
            <w:rStyle w:val="Hyperlink"/>
            <w:rFonts w:cs="Calibri"/>
            <w:i/>
            <w:noProof/>
          </w:rPr>
          <w:t>Witness issues</w:t>
        </w:r>
      </w:hyperlink>
      <w:r w:rsidR="00963ACB" w:rsidRPr="0059438A">
        <w:rPr>
          <w:rFonts w:cs="Calibri"/>
          <w:i/>
          <w:noProof/>
          <w:u w:val="single"/>
        </w:rPr>
        <w:t>’</w:t>
      </w:r>
      <w:r>
        <w:rPr>
          <w:rFonts w:cs="Calibri"/>
          <w:noProof/>
        </w:rPr>
        <w:t xml:space="preserve"> – Paragraph 2 (‘</w:t>
      </w:r>
      <w:r w:rsidRPr="008B6C8B">
        <w:rPr>
          <w:rFonts w:cs="Calibri"/>
          <w:noProof/>
        </w:rPr>
        <w:t>National Witness Protection Program</w:t>
      </w:r>
      <w:r>
        <w:rPr>
          <w:rFonts w:cs="Calibri"/>
          <w:noProof/>
        </w:rPr>
        <w:t xml:space="preserve">’) and paragraph 4 </w:t>
      </w:r>
      <w:r w:rsidR="00DF4B1F">
        <w:rPr>
          <w:rFonts w:cs="Calibri"/>
          <w:noProof/>
        </w:rPr>
        <w:t>(</w:t>
      </w:r>
      <w:r>
        <w:rPr>
          <w:rFonts w:cs="Calibri"/>
          <w:noProof/>
        </w:rPr>
        <w:t>‘</w:t>
      </w:r>
      <w:r w:rsidRPr="00CD3F82">
        <w:rPr>
          <w:rFonts w:cs="Calibri"/>
        </w:rPr>
        <w:t>Disclosure of a witness’ name</w:t>
      </w:r>
      <w:r>
        <w:rPr>
          <w:rFonts w:cs="Calibri"/>
        </w:rPr>
        <w:t>’</w:t>
      </w:r>
      <w:r w:rsidR="00DF4B1F">
        <w:rPr>
          <w:rFonts w:cs="Calibri"/>
        </w:rPr>
        <w:t>)</w:t>
      </w:r>
      <w:r w:rsidR="00ED3BBA">
        <w:rPr>
          <w:rFonts w:cs="Calibri"/>
        </w:rPr>
        <w:t xml:space="preserve">; and </w:t>
      </w:r>
    </w:p>
    <w:p w14:paraId="713292A6" w14:textId="77777777" w:rsidR="00722942" w:rsidRPr="008F0014" w:rsidRDefault="002525C4" w:rsidP="00722942">
      <w:pPr>
        <w:numPr>
          <w:ilvl w:val="0"/>
          <w:numId w:val="17"/>
        </w:numPr>
        <w:spacing w:after="0"/>
        <w:jc w:val="both"/>
        <w:rPr>
          <w:i/>
        </w:rPr>
      </w:pPr>
      <w:hyperlink r:id="rId11" w:history="1">
        <w:r w:rsidR="00722942" w:rsidRPr="000A1131">
          <w:rPr>
            <w:rStyle w:val="Hyperlink"/>
            <w:rFonts w:cs="Calibri"/>
            <w:i/>
            <w:noProof/>
          </w:rPr>
          <w:t>Witness Protection Act 1994</w:t>
        </w:r>
        <w:r w:rsidR="00722942" w:rsidRPr="000A1131">
          <w:rPr>
            <w:rStyle w:val="Hyperlink"/>
            <w:rFonts w:cs="Calibri"/>
            <w:noProof/>
          </w:rPr>
          <w:t xml:space="preserve"> (Cth)</w:t>
        </w:r>
      </w:hyperlink>
      <w:r w:rsidR="00ED3BBA">
        <w:rPr>
          <w:rFonts w:cs="Calibri"/>
          <w:noProof/>
        </w:rPr>
        <w:t>.</w:t>
      </w:r>
    </w:p>
    <w:p w14:paraId="3C30ECE8" w14:textId="77777777" w:rsidR="009E4AAF" w:rsidRPr="008F0014" w:rsidRDefault="009E4AAF" w:rsidP="002A4A54">
      <w:pPr>
        <w:spacing w:after="0"/>
        <w:jc w:val="both"/>
      </w:pPr>
      <w:r>
        <w:rPr>
          <w:rFonts w:cs="Calibri"/>
          <w:noProof/>
        </w:rPr>
        <w:br w:type="page"/>
      </w:r>
    </w:p>
    <w:p w14:paraId="3BFD4AD6" w14:textId="47AE939A" w:rsidR="00B54E52" w:rsidRDefault="00B54E52" w:rsidP="002A4A54">
      <w:pPr>
        <w:pStyle w:val="NLDheading"/>
      </w:pPr>
      <w:bookmarkStart w:id="35" w:name="_Toc58916929"/>
      <w:bookmarkStart w:id="36" w:name="_Toc64462164"/>
      <w:r>
        <w:lastRenderedPageBreak/>
        <w:t xml:space="preserve">Annexure A – </w:t>
      </w:r>
      <w:r w:rsidR="00A0490A">
        <w:t xml:space="preserve">Exceptions to </w:t>
      </w:r>
      <w:r>
        <w:t xml:space="preserve">suppression orders </w:t>
      </w:r>
      <w:r w:rsidR="00A0490A">
        <w:t>for public officials</w:t>
      </w:r>
      <w:bookmarkEnd w:id="35"/>
      <w:bookmarkEnd w:id="36"/>
      <w:r w:rsidR="00A0490A">
        <w:t xml:space="preserve"> </w:t>
      </w:r>
    </w:p>
    <w:p w14:paraId="3872FCBE" w14:textId="5BF9A703" w:rsidR="00DF641F" w:rsidRDefault="00DF641F" w:rsidP="002A4A54">
      <w:pPr>
        <w:rPr>
          <w:rFonts w:cs="Calibri"/>
          <w:noProof/>
        </w:rPr>
      </w:pPr>
      <w:r>
        <w:rPr>
          <w:rFonts w:cs="Calibri"/>
          <w:noProof/>
        </w:rPr>
        <w:t xml:space="preserve">In NSW, for suppresion orders made on or after 1 July 2011, there is an explicit statutory exception for the work of public officials.  </w:t>
      </w:r>
    </w:p>
    <w:p w14:paraId="6AF8D894" w14:textId="08351459" w:rsidR="00E9181A" w:rsidRDefault="00DF641F" w:rsidP="002A4A54">
      <w:pPr>
        <w:rPr>
          <w:rFonts w:cs="Calibri"/>
          <w:noProof/>
        </w:rPr>
      </w:pPr>
      <w:r>
        <w:rPr>
          <w:rFonts w:cs="Calibri"/>
          <w:noProof/>
        </w:rPr>
        <w:t>In Victoria, for suppression orders made on or after 1 December 2013, there is an explicit statutory exception for the work of public officials</w:t>
      </w:r>
      <w:r w:rsidR="00E9181A">
        <w:rPr>
          <w:rFonts w:cs="Calibri"/>
          <w:noProof/>
        </w:rPr>
        <w:t>.</w:t>
      </w:r>
    </w:p>
    <w:p w14:paraId="7F2CC350" w14:textId="14DC8577" w:rsidR="00003699" w:rsidRDefault="00BF3559" w:rsidP="002A4A54">
      <w:pPr>
        <w:rPr>
          <w:rFonts w:cs="Calibri"/>
          <w:noProof/>
        </w:rPr>
      </w:pPr>
      <w:r>
        <w:rPr>
          <w:rFonts w:cs="Calibri"/>
          <w:noProof/>
        </w:rPr>
        <w:t xml:space="preserve">State or </w:t>
      </w:r>
      <w:r w:rsidR="00A0490A">
        <w:rPr>
          <w:rFonts w:cs="Calibri"/>
          <w:noProof/>
        </w:rPr>
        <w:t xml:space="preserve">Territory legislation in the Australian Capital Territory, Northern Territory, Queensland, South Australia, Tasmania and Western Australia is silent on </w:t>
      </w:r>
      <w:r>
        <w:rPr>
          <w:rFonts w:cs="Calibri"/>
          <w:noProof/>
        </w:rPr>
        <w:t xml:space="preserve">the issue of </w:t>
      </w:r>
      <w:r w:rsidR="00A0490A">
        <w:rPr>
          <w:rFonts w:cs="Calibri"/>
          <w:noProof/>
        </w:rPr>
        <w:t xml:space="preserve">whether or not suppression orders extend to the necessary actions of public officials in </w:t>
      </w:r>
      <w:r w:rsidR="00757E02">
        <w:rPr>
          <w:rFonts w:cs="Calibri"/>
          <w:noProof/>
        </w:rPr>
        <w:t xml:space="preserve">dealing with </w:t>
      </w:r>
      <w:r w:rsidR="00FB5D5A">
        <w:rPr>
          <w:rFonts w:cs="Calibri"/>
          <w:noProof/>
        </w:rPr>
        <w:t>sentencing</w:t>
      </w:r>
      <w:r w:rsidR="00757E02">
        <w:rPr>
          <w:rFonts w:cs="Calibri"/>
          <w:noProof/>
        </w:rPr>
        <w:t xml:space="preserve"> information in </w:t>
      </w:r>
      <w:r w:rsidR="00A0490A">
        <w:rPr>
          <w:rFonts w:cs="Calibri"/>
          <w:noProof/>
        </w:rPr>
        <w:t xml:space="preserve">the performance of their </w:t>
      </w:r>
      <w:r w:rsidR="00757E02">
        <w:rPr>
          <w:rFonts w:cs="Calibri"/>
          <w:noProof/>
        </w:rPr>
        <w:t>functions</w:t>
      </w:r>
      <w:r w:rsidR="00A0490A">
        <w:rPr>
          <w:rFonts w:cs="Calibri"/>
          <w:noProof/>
        </w:rPr>
        <w:t xml:space="preserve">. </w:t>
      </w:r>
      <w:r w:rsidR="00003699">
        <w:rPr>
          <w:rFonts w:cs="Calibri"/>
          <w:noProof/>
        </w:rPr>
        <w:t>Similarly, Commonwealth legislation provide</w:t>
      </w:r>
      <w:r>
        <w:rPr>
          <w:rFonts w:cs="Calibri"/>
          <w:noProof/>
        </w:rPr>
        <w:t>s</w:t>
      </w:r>
      <w:r w:rsidR="00003699">
        <w:rPr>
          <w:rFonts w:cs="Calibri"/>
          <w:noProof/>
        </w:rPr>
        <w:t xml:space="preserve"> for </w:t>
      </w:r>
      <w:r>
        <w:rPr>
          <w:rFonts w:cs="Calibri"/>
          <w:noProof/>
        </w:rPr>
        <w:t xml:space="preserve">the making of </w:t>
      </w:r>
      <w:r w:rsidR="00003699">
        <w:rPr>
          <w:rFonts w:cs="Calibri"/>
          <w:noProof/>
        </w:rPr>
        <w:t xml:space="preserve">suppression orders but </w:t>
      </w:r>
      <w:r>
        <w:rPr>
          <w:rFonts w:cs="Calibri"/>
          <w:noProof/>
        </w:rPr>
        <w:t xml:space="preserve">some </w:t>
      </w:r>
      <w:r w:rsidR="006223DE">
        <w:rPr>
          <w:rFonts w:cs="Calibri"/>
          <w:noProof/>
        </w:rPr>
        <w:t xml:space="preserve">Commonwealth </w:t>
      </w:r>
      <w:r>
        <w:rPr>
          <w:rFonts w:cs="Calibri"/>
          <w:noProof/>
        </w:rPr>
        <w:t xml:space="preserve">statutes </w:t>
      </w:r>
      <w:r w:rsidR="00003699">
        <w:rPr>
          <w:rFonts w:cs="Calibri"/>
          <w:noProof/>
        </w:rPr>
        <w:t xml:space="preserve">fail to </w:t>
      </w:r>
      <w:r>
        <w:rPr>
          <w:rFonts w:cs="Calibri"/>
          <w:noProof/>
        </w:rPr>
        <w:t>provide</w:t>
      </w:r>
      <w:r w:rsidR="00003699">
        <w:rPr>
          <w:rFonts w:cs="Calibri"/>
          <w:noProof/>
        </w:rPr>
        <w:t xml:space="preserve"> an explicit exception for public officials. </w:t>
      </w:r>
    </w:p>
    <w:p w14:paraId="2EA454DB" w14:textId="77777777" w:rsidR="00292D17" w:rsidRDefault="006255C5" w:rsidP="00292D17">
      <w:pPr>
        <w:rPr>
          <w:rFonts w:cs="Calibri"/>
          <w:noProof/>
        </w:rPr>
      </w:pPr>
      <w:bookmarkStart w:id="37" w:name="_Hlk63953638"/>
      <w:r>
        <w:rPr>
          <w:rFonts w:cs="Calibri"/>
          <w:noProof/>
        </w:rPr>
        <w:t>The CDPP</w:t>
      </w:r>
      <w:r w:rsidRPr="006255C5">
        <w:rPr>
          <w:rFonts w:cs="Calibri"/>
          <w:noProof/>
        </w:rPr>
        <w:t xml:space="preserve"> position </w:t>
      </w:r>
      <w:bookmarkEnd w:id="37"/>
      <w:r w:rsidR="00292D17">
        <w:rPr>
          <w:rFonts w:cs="Calibri"/>
          <w:noProof/>
        </w:rPr>
        <w:t xml:space="preserve">per jurisdiction, for suppression orders made under </w:t>
      </w:r>
      <w:r w:rsidR="00292D17" w:rsidRPr="00782824">
        <w:rPr>
          <w:rFonts w:cs="Calibri"/>
          <w:noProof/>
          <w:u w:val="single"/>
        </w:rPr>
        <w:t>State/Territory legislation</w:t>
      </w:r>
      <w:r w:rsidR="00292D17">
        <w:rPr>
          <w:rFonts w:cs="Calibri"/>
          <w:noProof/>
        </w:rPr>
        <w:t>, is set out below:</w:t>
      </w:r>
    </w:p>
    <w:p w14:paraId="715825BB" w14:textId="77777777" w:rsidR="0016551D" w:rsidRDefault="0016551D" w:rsidP="00292D17">
      <w:pPr>
        <w:rPr>
          <w:rFonts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739"/>
      </w:tblGrid>
      <w:tr w:rsidR="00292D17" w:rsidRPr="003A2669" w14:paraId="218E4E4F" w14:textId="77777777" w:rsidTr="003A2669">
        <w:tc>
          <w:tcPr>
            <w:tcW w:w="2943" w:type="dxa"/>
            <w:shd w:val="clear" w:color="auto" w:fill="auto"/>
          </w:tcPr>
          <w:p w14:paraId="5DAC5E68" w14:textId="77777777" w:rsidR="00292D17" w:rsidRPr="003A2669" w:rsidRDefault="00292D17" w:rsidP="00292D17">
            <w:pPr>
              <w:rPr>
                <w:rFonts w:cs="Calibri"/>
                <w:b/>
                <w:bCs/>
                <w:noProof/>
              </w:rPr>
            </w:pPr>
            <w:r w:rsidRPr="003A2669">
              <w:rPr>
                <w:rFonts w:cs="Calibri"/>
                <w:b/>
                <w:bCs/>
                <w:noProof/>
              </w:rPr>
              <w:t>Jurisdiction</w:t>
            </w:r>
          </w:p>
        </w:tc>
        <w:tc>
          <w:tcPr>
            <w:tcW w:w="6911" w:type="dxa"/>
            <w:shd w:val="clear" w:color="auto" w:fill="auto"/>
          </w:tcPr>
          <w:p w14:paraId="38AEB624" w14:textId="77777777" w:rsidR="00292D17" w:rsidRPr="003A2669" w:rsidRDefault="00292D17" w:rsidP="00292D17">
            <w:pPr>
              <w:rPr>
                <w:rFonts w:cs="Calibri"/>
                <w:b/>
                <w:bCs/>
                <w:noProof/>
              </w:rPr>
            </w:pPr>
            <w:r w:rsidRPr="003A2669">
              <w:rPr>
                <w:rFonts w:cs="Calibri"/>
                <w:b/>
                <w:bCs/>
                <w:noProof/>
              </w:rPr>
              <w:t xml:space="preserve">Approach to issue of suppression orders </w:t>
            </w:r>
            <w:r w:rsidR="00782824" w:rsidRPr="003A2669">
              <w:rPr>
                <w:rFonts w:cs="Calibri"/>
                <w:b/>
                <w:bCs/>
                <w:noProof/>
              </w:rPr>
              <w:t xml:space="preserve">made under State/Territory legislation, </w:t>
            </w:r>
            <w:r w:rsidRPr="003A2669">
              <w:rPr>
                <w:rFonts w:cs="Calibri"/>
                <w:b/>
                <w:bCs/>
                <w:noProof/>
              </w:rPr>
              <w:t xml:space="preserve">and the work of ‘public officials’ </w:t>
            </w:r>
          </w:p>
        </w:tc>
      </w:tr>
      <w:tr w:rsidR="00292D17" w:rsidRPr="003A2669" w14:paraId="4D1C8CCD" w14:textId="77777777" w:rsidTr="003A2669">
        <w:tc>
          <w:tcPr>
            <w:tcW w:w="2943" w:type="dxa"/>
            <w:shd w:val="clear" w:color="auto" w:fill="auto"/>
          </w:tcPr>
          <w:p w14:paraId="6B5EEE42" w14:textId="77777777" w:rsidR="00292D17" w:rsidRPr="003A2669" w:rsidRDefault="00292D17" w:rsidP="00292D17">
            <w:pPr>
              <w:rPr>
                <w:rFonts w:cs="Calibri"/>
                <w:noProof/>
              </w:rPr>
            </w:pPr>
            <w:r w:rsidRPr="003A2669">
              <w:rPr>
                <w:rFonts w:cs="Calibri"/>
                <w:noProof/>
              </w:rPr>
              <w:t>New South Wales</w:t>
            </w:r>
          </w:p>
        </w:tc>
        <w:tc>
          <w:tcPr>
            <w:tcW w:w="6911" w:type="dxa"/>
            <w:shd w:val="clear" w:color="auto" w:fill="auto"/>
          </w:tcPr>
          <w:p w14:paraId="33E757B5" w14:textId="77777777" w:rsidR="00292D17" w:rsidRPr="003A2669" w:rsidRDefault="00292D17" w:rsidP="00292D17">
            <w:pPr>
              <w:rPr>
                <w:rFonts w:cs="Calibri"/>
                <w:noProof/>
              </w:rPr>
            </w:pPr>
            <w:r w:rsidRPr="003A2669">
              <w:rPr>
                <w:rFonts w:cs="Calibri"/>
                <w:noProof/>
              </w:rPr>
              <w:t xml:space="preserve">Exception wording is </w:t>
            </w:r>
            <w:r w:rsidRPr="003A2669">
              <w:rPr>
                <w:rFonts w:cs="Calibri"/>
                <w:noProof/>
                <w:u w:val="single"/>
              </w:rPr>
              <w:t>not</w:t>
            </w:r>
            <w:r w:rsidRPr="003A2669">
              <w:rPr>
                <w:rFonts w:cs="Calibri"/>
                <w:noProof/>
              </w:rPr>
              <w:t xml:space="preserve"> required in the order.</w:t>
            </w:r>
            <w:r w:rsidR="00AA799B" w:rsidRPr="003A2669">
              <w:rPr>
                <w:rStyle w:val="FootnoteReference"/>
                <w:rFonts w:cs="Calibri"/>
                <w:noProof/>
              </w:rPr>
              <w:footnoteReference w:id="22"/>
            </w:r>
            <w:r w:rsidRPr="003A2669">
              <w:rPr>
                <w:rFonts w:cs="Calibri"/>
                <w:noProof/>
              </w:rPr>
              <w:t xml:space="preserve"> </w:t>
            </w:r>
          </w:p>
        </w:tc>
      </w:tr>
      <w:tr w:rsidR="00292D17" w:rsidRPr="003A2669" w14:paraId="6E1A4D7B" w14:textId="77777777" w:rsidTr="003A2669">
        <w:tc>
          <w:tcPr>
            <w:tcW w:w="2943" w:type="dxa"/>
            <w:shd w:val="clear" w:color="auto" w:fill="auto"/>
          </w:tcPr>
          <w:p w14:paraId="5B526A57" w14:textId="77777777" w:rsidR="00292D17" w:rsidRPr="003A2669" w:rsidRDefault="00292D17" w:rsidP="00292D17">
            <w:pPr>
              <w:rPr>
                <w:rFonts w:cs="Calibri"/>
                <w:noProof/>
              </w:rPr>
            </w:pPr>
            <w:r w:rsidRPr="003A2669">
              <w:rPr>
                <w:rFonts w:cs="Calibri"/>
                <w:noProof/>
              </w:rPr>
              <w:t xml:space="preserve">Victoria </w:t>
            </w:r>
          </w:p>
        </w:tc>
        <w:tc>
          <w:tcPr>
            <w:tcW w:w="6911" w:type="dxa"/>
            <w:shd w:val="clear" w:color="auto" w:fill="auto"/>
          </w:tcPr>
          <w:p w14:paraId="03C66B98" w14:textId="77777777" w:rsidR="00292D17" w:rsidRPr="003A2669" w:rsidRDefault="00292D17" w:rsidP="00292D17">
            <w:pPr>
              <w:rPr>
                <w:rFonts w:cs="Calibri"/>
                <w:noProof/>
              </w:rPr>
            </w:pPr>
            <w:r w:rsidRPr="003A2669">
              <w:rPr>
                <w:rFonts w:cs="Calibri"/>
                <w:noProof/>
              </w:rPr>
              <w:t xml:space="preserve">Exception wording is </w:t>
            </w:r>
            <w:r w:rsidRPr="003A2669">
              <w:rPr>
                <w:rFonts w:cs="Calibri"/>
                <w:noProof/>
                <w:u w:val="single"/>
              </w:rPr>
              <w:t>not</w:t>
            </w:r>
            <w:r w:rsidRPr="003A2669">
              <w:rPr>
                <w:rFonts w:cs="Calibri"/>
                <w:noProof/>
              </w:rPr>
              <w:t xml:space="preserve"> required in the order</w:t>
            </w:r>
            <w:r w:rsidR="00AA799B" w:rsidRPr="003A2669">
              <w:rPr>
                <w:rFonts w:cs="Calibri"/>
                <w:noProof/>
              </w:rPr>
              <w:t>.</w:t>
            </w:r>
            <w:r w:rsidR="00AA799B" w:rsidRPr="003A2669">
              <w:rPr>
                <w:rStyle w:val="FootnoteReference"/>
                <w:rFonts w:cs="Calibri"/>
                <w:noProof/>
              </w:rPr>
              <w:footnoteReference w:id="23"/>
            </w:r>
          </w:p>
        </w:tc>
      </w:tr>
      <w:tr w:rsidR="00292D17" w:rsidRPr="003A2669" w14:paraId="3EE5DAE6" w14:textId="77777777" w:rsidTr="003A2669">
        <w:tc>
          <w:tcPr>
            <w:tcW w:w="2943" w:type="dxa"/>
            <w:shd w:val="clear" w:color="auto" w:fill="auto"/>
          </w:tcPr>
          <w:p w14:paraId="021B486C" w14:textId="77777777" w:rsidR="00292D17" w:rsidRPr="003A2669" w:rsidRDefault="00292D17" w:rsidP="00292D17">
            <w:pPr>
              <w:rPr>
                <w:rFonts w:cs="Calibri"/>
                <w:noProof/>
              </w:rPr>
            </w:pPr>
            <w:r w:rsidRPr="003A2669">
              <w:rPr>
                <w:rFonts w:cs="Calibri"/>
                <w:noProof/>
              </w:rPr>
              <w:t xml:space="preserve">Queensland </w:t>
            </w:r>
          </w:p>
        </w:tc>
        <w:tc>
          <w:tcPr>
            <w:tcW w:w="6911" w:type="dxa"/>
            <w:shd w:val="clear" w:color="auto" w:fill="auto"/>
          </w:tcPr>
          <w:p w14:paraId="6BB5F787" w14:textId="77777777" w:rsidR="00292D17" w:rsidRPr="003A2669" w:rsidRDefault="00292D17" w:rsidP="00292D17">
            <w:pPr>
              <w:rPr>
                <w:rFonts w:cs="Calibri"/>
                <w:noProof/>
              </w:rPr>
            </w:pPr>
            <w:r w:rsidRPr="003A2669">
              <w:rPr>
                <w:rFonts w:cs="Calibri"/>
                <w:noProof/>
              </w:rPr>
              <w:t xml:space="preserve">Exception wording is </w:t>
            </w:r>
            <w:r w:rsidRPr="003A2669">
              <w:rPr>
                <w:rFonts w:cs="Calibri"/>
                <w:noProof/>
                <w:u w:val="single"/>
              </w:rPr>
              <w:t>not</w:t>
            </w:r>
            <w:r w:rsidRPr="003A2669">
              <w:rPr>
                <w:rFonts w:cs="Calibri"/>
                <w:noProof/>
              </w:rPr>
              <w:t xml:space="preserve"> required in the order.</w:t>
            </w:r>
            <w:r w:rsidR="00AA799B" w:rsidRPr="003A2669">
              <w:rPr>
                <w:rStyle w:val="FootnoteReference"/>
                <w:rFonts w:cs="Calibri"/>
                <w:noProof/>
              </w:rPr>
              <w:footnoteReference w:id="24"/>
            </w:r>
          </w:p>
        </w:tc>
      </w:tr>
      <w:tr w:rsidR="00292D17" w:rsidRPr="003A2669" w14:paraId="1BE24F26" w14:textId="77777777" w:rsidTr="003A2669">
        <w:tc>
          <w:tcPr>
            <w:tcW w:w="2943" w:type="dxa"/>
            <w:shd w:val="clear" w:color="auto" w:fill="auto"/>
          </w:tcPr>
          <w:p w14:paraId="130B86D8" w14:textId="77777777" w:rsidR="00292D17" w:rsidRPr="003A2669" w:rsidRDefault="00292D17" w:rsidP="00292D17">
            <w:pPr>
              <w:rPr>
                <w:rFonts w:cs="Calibri"/>
                <w:noProof/>
              </w:rPr>
            </w:pPr>
            <w:r w:rsidRPr="003A2669">
              <w:rPr>
                <w:rFonts w:cs="Calibri"/>
                <w:noProof/>
              </w:rPr>
              <w:t>Australian Capital Territory</w:t>
            </w:r>
          </w:p>
        </w:tc>
        <w:tc>
          <w:tcPr>
            <w:tcW w:w="6911" w:type="dxa"/>
            <w:shd w:val="clear" w:color="auto" w:fill="auto"/>
          </w:tcPr>
          <w:p w14:paraId="3C40C56A" w14:textId="77777777" w:rsidR="00292D17" w:rsidRPr="003A2669" w:rsidRDefault="00AA799B" w:rsidP="00292D17">
            <w:pPr>
              <w:rPr>
                <w:rFonts w:cs="Calibri"/>
                <w:noProof/>
              </w:rPr>
            </w:pPr>
            <w:r w:rsidRPr="003A2669">
              <w:rPr>
                <w:rFonts w:cs="Calibri"/>
                <w:noProof/>
              </w:rPr>
              <w:t xml:space="preserve">Exception wording is </w:t>
            </w:r>
            <w:r w:rsidRPr="003A2669">
              <w:rPr>
                <w:rFonts w:cs="Calibri"/>
                <w:noProof/>
                <w:u w:val="single"/>
              </w:rPr>
              <w:t>not</w:t>
            </w:r>
            <w:r w:rsidRPr="003A2669">
              <w:rPr>
                <w:rFonts w:cs="Calibri"/>
                <w:noProof/>
              </w:rPr>
              <w:t xml:space="preserve"> required in the order.</w:t>
            </w:r>
            <w:r w:rsidR="00E20BD8">
              <w:rPr>
                <w:rStyle w:val="FootnoteReference"/>
                <w:rFonts w:cs="Calibri"/>
                <w:noProof/>
              </w:rPr>
              <w:footnoteReference w:id="25"/>
            </w:r>
          </w:p>
        </w:tc>
      </w:tr>
      <w:tr w:rsidR="00292D17" w:rsidRPr="003A2669" w14:paraId="6988CB34" w14:textId="77777777" w:rsidTr="003A2669">
        <w:tc>
          <w:tcPr>
            <w:tcW w:w="2943" w:type="dxa"/>
            <w:shd w:val="clear" w:color="auto" w:fill="auto"/>
          </w:tcPr>
          <w:p w14:paraId="54031DE6" w14:textId="77777777" w:rsidR="00292D17" w:rsidRPr="003A2669" w:rsidRDefault="00292D17" w:rsidP="00292D17">
            <w:pPr>
              <w:rPr>
                <w:rFonts w:cs="Calibri"/>
                <w:noProof/>
              </w:rPr>
            </w:pPr>
            <w:r w:rsidRPr="003A2669">
              <w:rPr>
                <w:rFonts w:cs="Calibri"/>
                <w:noProof/>
              </w:rPr>
              <w:t>Northern Territory</w:t>
            </w:r>
          </w:p>
        </w:tc>
        <w:tc>
          <w:tcPr>
            <w:tcW w:w="6911" w:type="dxa"/>
            <w:shd w:val="clear" w:color="auto" w:fill="auto"/>
          </w:tcPr>
          <w:p w14:paraId="169EEA22" w14:textId="77777777" w:rsidR="00292D17" w:rsidRPr="003A2669" w:rsidRDefault="00AA799B" w:rsidP="00292D17">
            <w:pPr>
              <w:rPr>
                <w:rFonts w:cs="Calibri"/>
                <w:noProof/>
              </w:rPr>
            </w:pPr>
            <w:r w:rsidRPr="003A2669">
              <w:rPr>
                <w:rFonts w:cs="Calibri"/>
                <w:noProof/>
              </w:rPr>
              <w:t xml:space="preserve">Exception wording is </w:t>
            </w:r>
            <w:r w:rsidRPr="003A2669">
              <w:rPr>
                <w:rFonts w:cs="Calibri"/>
                <w:noProof/>
                <w:u w:val="single"/>
              </w:rPr>
              <w:t>not</w:t>
            </w:r>
            <w:r w:rsidRPr="003A2669">
              <w:rPr>
                <w:rFonts w:cs="Calibri"/>
                <w:noProof/>
              </w:rPr>
              <w:t xml:space="preserve"> required in the order.</w:t>
            </w:r>
            <w:r w:rsidR="00E20BD8">
              <w:rPr>
                <w:rStyle w:val="FootnoteReference"/>
                <w:rFonts w:cs="Calibri"/>
                <w:noProof/>
              </w:rPr>
              <w:footnoteReference w:id="26"/>
            </w:r>
          </w:p>
        </w:tc>
      </w:tr>
      <w:tr w:rsidR="00E20BD8" w:rsidRPr="003A2669" w14:paraId="68F3E9A4" w14:textId="77777777" w:rsidTr="003A2669">
        <w:tc>
          <w:tcPr>
            <w:tcW w:w="2943" w:type="dxa"/>
            <w:shd w:val="clear" w:color="auto" w:fill="auto"/>
          </w:tcPr>
          <w:p w14:paraId="3FE87437" w14:textId="77777777" w:rsidR="00E20BD8" w:rsidRPr="003A2669" w:rsidRDefault="00E20BD8" w:rsidP="00E20BD8">
            <w:pPr>
              <w:rPr>
                <w:rFonts w:cs="Calibri"/>
                <w:noProof/>
              </w:rPr>
            </w:pPr>
            <w:r w:rsidRPr="003A2669">
              <w:rPr>
                <w:rFonts w:cs="Calibri"/>
                <w:noProof/>
              </w:rPr>
              <w:t xml:space="preserve">South Australia </w:t>
            </w:r>
          </w:p>
        </w:tc>
        <w:tc>
          <w:tcPr>
            <w:tcW w:w="6911" w:type="dxa"/>
            <w:shd w:val="clear" w:color="auto" w:fill="auto"/>
          </w:tcPr>
          <w:p w14:paraId="53BF3227" w14:textId="77777777" w:rsidR="00E20BD8" w:rsidRPr="003A2669" w:rsidRDefault="00E20BD8" w:rsidP="00E20BD8">
            <w:pPr>
              <w:rPr>
                <w:rFonts w:cs="Calibri"/>
                <w:noProof/>
              </w:rPr>
            </w:pPr>
            <w:r w:rsidRPr="003A2669">
              <w:rPr>
                <w:rFonts w:cs="Calibri"/>
                <w:noProof/>
              </w:rPr>
              <w:t xml:space="preserve">Exception wording is </w:t>
            </w:r>
            <w:r w:rsidRPr="00E20BD8">
              <w:rPr>
                <w:rFonts w:cs="Calibri"/>
                <w:noProof/>
                <w:u w:val="single"/>
              </w:rPr>
              <w:t>not usually</w:t>
            </w:r>
            <w:r w:rsidRPr="003A2669">
              <w:rPr>
                <w:rFonts w:cs="Calibri"/>
                <w:noProof/>
              </w:rPr>
              <w:t xml:space="preserve"> required in the order.</w:t>
            </w:r>
            <w:r w:rsidRPr="003A2669">
              <w:rPr>
                <w:rStyle w:val="FootnoteReference"/>
                <w:rFonts w:cs="Calibri"/>
                <w:noProof/>
              </w:rPr>
              <w:t xml:space="preserve"> </w:t>
            </w:r>
            <w:r w:rsidRPr="003A2669">
              <w:rPr>
                <w:rStyle w:val="FootnoteReference"/>
                <w:rFonts w:cs="Calibri"/>
                <w:noProof/>
              </w:rPr>
              <w:footnoteReference w:id="27"/>
            </w:r>
            <w:r w:rsidRPr="003A2669">
              <w:rPr>
                <w:rFonts w:cs="Calibri"/>
                <w:noProof/>
              </w:rPr>
              <w:t xml:space="preserve">  </w:t>
            </w:r>
          </w:p>
        </w:tc>
      </w:tr>
      <w:tr w:rsidR="00AA799B" w:rsidRPr="003A2669" w14:paraId="2CB91C9E" w14:textId="77777777" w:rsidTr="003A2669">
        <w:tc>
          <w:tcPr>
            <w:tcW w:w="2943" w:type="dxa"/>
            <w:shd w:val="clear" w:color="auto" w:fill="auto"/>
          </w:tcPr>
          <w:p w14:paraId="705732DC" w14:textId="77777777" w:rsidR="00AA799B" w:rsidRPr="003A2669" w:rsidRDefault="00AA799B" w:rsidP="00AA799B">
            <w:pPr>
              <w:rPr>
                <w:rFonts w:cs="Calibri"/>
                <w:noProof/>
              </w:rPr>
            </w:pPr>
            <w:r w:rsidRPr="003A2669">
              <w:rPr>
                <w:rFonts w:cs="Calibri"/>
                <w:noProof/>
              </w:rPr>
              <w:t xml:space="preserve">Tasmania </w:t>
            </w:r>
          </w:p>
        </w:tc>
        <w:tc>
          <w:tcPr>
            <w:tcW w:w="6911" w:type="dxa"/>
            <w:shd w:val="clear" w:color="auto" w:fill="auto"/>
          </w:tcPr>
          <w:p w14:paraId="5C470C8B" w14:textId="77777777" w:rsidR="00AA799B" w:rsidRPr="003A2669" w:rsidRDefault="00AA799B" w:rsidP="00AA799B">
            <w:pPr>
              <w:rPr>
                <w:rFonts w:cs="Calibri"/>
                <w:noProof/>
              </w:rPr>
            </w:pPr>
            <w:r w:rsidRPr="00E20BD8">
              <w:rPr>
                <w:rFonts w:cs="Calibri"/>
                <w:noProof/>
              </w:rPr>
              <w:t xml:space="preserve">Exception wording </w:t>
            </w:r>
            <w:r w:rsidRPr="00E20BD8">
              <w:rPr>
                <w:rFonts w:cs="Calibri"/>
                <w:noProof/>
                <w:u w:val="single"/>
              </w:rPr>
              <w:t>is</w:t>
            </w:r>
            <w:r w:rsidRPr="00E20BD8">
              <w:rPr>
                <w:rFonts w:cs="Calibri"/>
                <w:noProof/>
              </w:rPr>
              <w:t xml:space="preserve"> required in the order.</w:t>
            </w:r>
            <w:r w:rsidR="00E20BD8">
              <w:rPr>
                <w:rStyle w:val="FootnoteReference"/>
                <w:rFonts w:cs="Calibri"/>
                <w:noProof/>
              </w:rPr>
              <w:footnoteReference w:id="28"/>
            </w:r>
          </w:p>
        </w:tc>
      </w:tr>
      <w:tr w:rsidR="00AA799B" w:rsidRPr="003A2669" w14:paraId="777C10C0" w14:textId="77777777" w:rsidTr="003A2669">
        <w:tc>
          <w:tcPr>
            <w:tcW w:w="2943" w:type="dxa"/>
            <w:shd w:val="clear" w:color="auto" w:fill="auto"/>
          </w:tcPr>
          <w:p w14:paraId="548BB75C" w14:textId="77777777" w:rsidR="00AA799B" w:rsidRPr="003A2669" w:rsidRDefault="00AA799B" w:rsidP="00AA799B">
            <w:pPr>
              <w:rPr>
                <w:rFonts w:cs="Calibri"/>
                <w:noProof/>
              </w:rPr>
            </w:pPr>
            <w:r w:rsidRPr="003A2669">
              <w:rPr>
                <w:rFonts w:cs="Calibri"/>
                <w:noProof/>
              </w:rPr>
              <w:t xml:space="preserve">Western Australia </w:t>
            </w:r>
          </w:p>
        </w:tc>
        <w:tc>
          <w:tcPr>
            <w:tcW w:w="6911" w:type="dxa"/>
            <w:shd w:val="clear" w:color="auto" w:fill="auto"/>
          </w:tcPr>
          <w:p w14:paraId="0F0615B9" w14:textId="77777777" w:rsidR="00AA799B" w:rsidRPr="003A2669" w:rsidRDefault="00AA799B" w:rsidP="00AA799B">
            <w:pPr>
              <w:rPr>
                <w:rFonts w:cs="Calibri"/>
                <w:noProof/>
              </w:rPr>
            </w:pPr>
            <w:r w:rsidRPr="003A2669">
              <w:rPr>
                <w:rFonts w:cs="Calibri"/>
                <w:noProof/>
              </w:rPr>
              <w:t xml:space="preserve">Exception wording </w:t>
            </w:r>
            <w:r w:rsidRPr="003A2669">
              <w:rPr>
                <w:rFonts w:cs="Calibri"/>
                <w:noProof/>
                <w:u w:val="single"/>
              </w:rPr>
              <w:t>is</w:t>
            </w:r>
            <w:r w:rsidRPr="003A2669">
              <w:rPr>
                <w:rFonts w:cs="Calibri"/>
                <w:noProof/>
              </w:rPr>
              <w:t xml:space="preserve"> required in the order.</w:t>
            </w:r>
            <w:r w:rsidRPr="003A2669">
              <w:rPr>
                <w:rStyle w:val="FootnoteReference"/>
                <w:rFonts w:cs="Calibri"/>
                <w:noProof/>
              </w:rPr>
              <w:footnoteReference w:id="29"/>
            </w:r>
          </w:p>
        </w:tc>
      </w:tr>
    </w:tbl>
    <w:p w14:paraId="6D9B9EF1" w14:textId="77777777" w:rsidR="00E20BD8" w:rsidRDefault="00E20BD8" w:rsidP="00AA799B">
      <w:pPr>
        <w:rPr>
          <w:rFonts w:cs="Calibri"/>
          <w:b/>
          <w:bCs/>
          <w:noProof/>
          <w:u w:val="single"/>
        </w:rPr>
      </w:pPr>
    </w:p>
    <w:p w14:paraId="062D73DF" w14:textId="77777777" w:rsidR="00AA799B" w:rsidRDefault="00E20BD8" w:rsidP="00AA799B">
      <w:pPr>
        <w:rPr>
          <w:rFonts w:cs="Calibri"/>
          <w:b/>
          <w:bCs/>
          <w:noProof/>
          <w:u w:val="single"/>
        </w:rPr>
      </w:pPr>
      <w:r>
        <w:rPr>
          <w:rFonts w:cs="Calibri"/>
          <w:b/>
          <w:bCs/>
          <w:noProof/>
          <w:u w:val="single"/>
        </w:rPr>
        <w:br w:type="page"/>
      </w:r>
    </w:p>
    <w:p w14:paraId="18C2F048" w14:textId="77777777" w:rsidR="00AA799B" w:rsidRDefault="00AA799B" w:rsidP="00AA799B">
      <w:pPr>
        <w:rPr>
          <w:rFonts w:cs="Calibri"/>
          <w:b/>
          <w:bCs/>
          <w:noProof/>
          <w:u w:val="single"/>
        </w:rPr>
      </w:pPr>
      <w:r w:rsidRPr="00AA799B">
        <w:rPr>
          <w:rFonts w:cs="Calibri"/>
          <w:b/>
          <w:bCs/>
          <w:noProof/>
          <w:u w:val="single"/>
        </w:rPr>
        <w:lastRenderedPageBreak/>
        <w:t>Guidance for Queensland, the Australian Capital Territory</w:t>
      </w:r>
      <w:r w:rsidRPr="00AA799B">
        <w:rPr>
          <w:b/>
          <w:bCs/>
          <w:u w:val="single"/>
        </w:rPr>
        <w:t xml:space="preserve">, </w:t>
      </w:r>
      <w:r w:rsidR="00E20BD8">
        <w:rPr>
          <w:b/>
          <w:bCs/>
          <w:u w:val="single"/>
        </w:rPr>
        <w:t xml:space="preserve">and </w:t>
      </w:r>
      <w:r w:rsidRPr="00AA799B">
        <w:rPr>
          <w:b/>
          <w:bCs/>
          <w:u w:val="single"/>
        </w:rPr>
        <w:t xml:space="preserve">the </w:t>
      </w:r>
      <w:r w:rsidRPr="00AA799B">
        <w:rPr>
          <w:rFonts w:cs="Calibri"/>
          <w:b/>
          <w:bCs/>
          <w:noProof/>
          <w:u w:val="single"/>
        </w:rPr>
        <w:t xml:space="preserve">Northern Territory </w:t>
      </w:r>
      <w:r w:rsidR="00782824">
        <w:rPr>
          <w:rFonts w:cs="Calibri"/>
          <w:b/>
          <w:bCs/>
          <w:noProof/>
          <w:u w:val="single"/>
        </w:rPr>
        <w:t>(</w:t>
      </w:r>
      <w:r w:rsidR="00E20BD8">
        <w:rPr>
          <w:rFonts w:cs="Calibri"/>
          <w:b/>
          <w:bCs/>
          <w:noProof/>
          <w:u w:val="single"/>
        </w:rPr>
        <w:t>where</w:t>
      </w:r>
      <w:r w:rsidR="00782824">
        <w:rPr>
          <w:rFonts w:cs="Calibri"/>
          <w:b/>
          <w:bCs/>
          <w:noProof/>
          <w:u w:val="single"/>
        </w:rPr>
        <w:t xml:space="preserve"> the order is made pursuant to State/Territory legislation</w:t>
      </w:r>
      <w:r w:rsidR="00E20BD8">
        <w:rPr>
          <w:rFonts w:cs="Calibri"/>
          <w:b/>
          <w:bCs/>
          <w:noProof/>
          <w:u w:val="single"/>
        </w:rPr>
        <w:t>)</w:t>
      </w:r>
      <w:r w:rsidRPr="00AA799B">
        <w:rPr>
          <w:rFonts w:cs="Calibri"/>
          <w:b/>
          <w:bCs/>
          <w:noProof/>
          <w:u w:val="single"/>
        </w:rPr>
        <w:t>:</w:t>
      </w:r>
    </w:p>
    <w:p w14:paraId="0988AB76" w14:textId="4BFB2374" w:rsidR="00782824" w:rsidRPr="00782824" w:rsidRDefault="00782824" w:rsidP="00AA799B">
      <w:pPr>
        <w:rPr>
          <w:rFonts w:cs="Calibri"/>
          <w:noProof/>
        </w:rPr>
      </w:pPr>
      <w:r>
        <w:rPr>
          <w:rFonts w:cs="Calibri"/>
          <w:noProof/>
        </w:rPr>
        <w:t>The CDPP</w:t>
      </w:r>
      <w:r w:rsidRPr="006255C5">
        <w:rPr>
          <w:rFonts w:cs="Calibri"/>
          <w:noProof/>
        </w:rPr>
        <w:t xml:space="preserve"> position</w:t>
      </w:r>
      <w:r>
        <w:rPr>
          <w:rFonts w:cs="Calibri"/>
          <w:noProof/>
        </w:rPr>
        <w:t xml:space="preserve"> in these jurisdictions</w:t>
      </w:r>
      <w:r w:rsidRPr="006255C5">
        <w:rPr>
          <w:rFonts w:cs="Calibri"/>
          <w:noProof/>
        </w:rPr>
        <w:t xml:space="preserve"> is </w:t>
      </w:r>
      <w:r>
        <w:rPr>
          <w:rFonts w:cs="Calibri"/>
          <w:noProof/>
        </w:rPr>
        <w:t xml:space="preserve">that provision of the relevant information to public officials is not covered by, nor a breach of, the suppression order, </w:t>
      </w:r>
      <w:r w:rsidRPr="006255C5">
        <w:rPr>
          <w:rFonts w:cs="Calibri"/>
          <w:noProof/>
        </w:rPr>
        <w:t xml:space="preserve">as it is not a publication to the media or to the public but is instead </w:t>
      </w:r>
      <w:r>
        <w:rPr>
          <w:rFonts w:cs="Calibri"/>
          <w:noProof/>
        </w:rPr>
        <w:t xml:space="preserve">is </w:t>
      </w:r>
      <w:r w:rsidRPr="006255C5">
        <w:rPr>
          <w:rFonts w:cs="Calibri"/>
          <w:noProof/>
        </w:rPr>
        <w:t>provided for the administration of the sentence.</w:t>
      </w:r>
      <w:r>
        <w:rPr>
          <w:rFonts w:cs="Calibri"/>
          <w:noProof/>
        </w:rPr>
        <w:t xml:space="preserve"> There is no requirement to make submissions on this topic unless the issue is raised by the court. </w:t>
      </w:r>
    </w:p>
    <w:p w14:paraId="607D30C6" w14:textId="77777777" w:rsidR="00A86738" w:rsidRPr="00782824" w:rsidRDefault="00A86738" w:rsidP="00A86738">
      <w:pPr>
        <w:rPr>
          <w:rFonts w:cs="Calibri"/>
          <w:noProof/>
          <w:u w:val="single"/>
        </w:rPr>
      </w:pPr>
      <w:r w:rsidRPr="00782824">
        <w:rPr>
          <w:rFonts w:cs="Calibri"/>
          <w:noProof/>
          <w:u w:val="single"/>
        </w:rPr>
        <w:t>Where the court is of the view that disclosure to public officials is prevented by the suppression order:</w:t>
      </w:r>
    </w:p>
    <w:p w14:paraId="3DC5147D" w14:textId="77777777" w:rsidR="00A86738" w:rsidRDefault="00A86738" w:rsidP="00A86738">
      <w:pPr>
        <w:rPr>
          <w:rFonts w:cs="Calibri"/>
          <w:noProof/>
        </w:rPr>
      </w:pPr>
      <w:r>
        <w:rPr>
          <w:rFonts w:cs="Calibri"/>
          <w:noProof/>
        </w:rPr>
        <w:t>If the above issue is raised by the court, the Crown should have regard to whether the relevant legislation prevents ‘disclosure’, ‘publication’, or both.</w:t>
      </w:r>
    </w:p>
    <w:p w14:paraId="4CAFE337" w14:textId="77777777" w:rsidR="00A86738" w:rsidRPr="00D6461E" w:rsidRDefault="00A86738" w:rsidP="00A86738">
      <w:pPr>
        <w:spacing w:after="0"/>
        <w:ind w:left="720"/>
        <w:jc w:val="both"/>
        <w:rPr>
          <w:rFonts w:cs="Calibri"/>
          <w:bCs/>
          <w:noProof/>
          <w:u w:val="single"/>
        </w:rPr>
      </w:pPr>
      <w:r w:rsidRPr="00D6461E">
        <w:rPr>
          <w:rFonts w:cs="Calibri"/>
          <w:bCs/>
          <w:noProof/>
          <w:u w:val="single"/>
        </w:rPr>
        <w:t xml:space="preserve">In circumstances where the legislation provides that a suppression order </w:t>
      </w:r>
      <w:r w:rsidRPr="00582B30">
        <w:rPr>
          <w:rFonts w:cs="Calibri"/>
          <w:bCs/>
          <w:noProof/>
          <w:u w:val="single"/>
        </w:rPr>
        <w:t>only</w:t>
      </w:r>
      <w:r w:rsidRPr="00D6461E">
        <w:rPr>
          <w:rFonts w:cs="Calibri"/>
          <w:bCs/>
          <w:noProof/>
          <w:u w:val="single"/>
        </w:rPr>
        <w:t xml:space="preserve"> prevents “publication”:</w:t>
      </w:r>
    </w:p>
    <w:p w14:paraId="12AC8CB9" w14:textId="7C8BF6F3" w:rsidR="00A86738" w:rsidRPr="00582B30" w:rsidRDefault="00A86738" w:rsidP="00A86738">
      <w:pPr>
        <w:spacing w:after="0"/>
        <w:ind w:left="720"/>
        <w:jc w:val="both"/>
        <w:rPr>
          <w:rFonts w:cs="Calibri"/>
          <w:bCs/>
          <w:noProof/>
        </w:rPr>
      </w:pPr>
      <w:r w:rsidRPr="00582B30">
        <w:rPr>
          <w:rFonts w:cs="Calibri"/>
          <w:bCs/>
          <w:noProof/>
        </w:rPr>
        <w:t xml:space="preserve">In circumstances where the legislation provides that a suppression order </w:t>
      </w:r>
      <w:r w:rsidRPr="00D6461E">
        <w:rPr>
          <w:rFonts w:cs="Calibri"/>
          <w:bCs/>
          <w:noProof/>
          <w:u w:val="single"/>
        </w:rPr>
        <w:t>only</w:t>
      </w:r>
      <w:r w:rsidRPr="00582B30">
        <w:rPr>
          <w:rFonts w:cs="Calibri"/>
          <w:bCs/>
          <w:noProof/>
        </w:rPr>
        <w:t xml:space="preserve"> prevents “publication” (and not disclosure), then before a proposed s</w:t>
      </w:r>
      <w:r w:rsidRPr="00474DEC">
        <w:rPr>
          <w:rFonts w:cs="Calibri"/>
          <w:bCs/>
          <w:noProof/>
        </w:rPr>
        <w:t xml:space="preserve">uppression order is made, the Crown should draw the court’s attention to </w:t>
      </w:r>
      <w:r w:rsidR="00E9181A">
        <w:rPr>
          <w:rFonts w:cs="Calibri"/>
          <w:bCs/>
          <w:noProof/>
        </w:rPr>
        <w:t>available case law examining the meaning of the word ‘publication’</w:t>
      </w:r>
      <w:r w:rsidR="0088240F">
        <w:rPr>
          <w:rFonts w:cs="Calibri"/>
          <w:bCs/>
          <w:noProof/>
        </w:rPr>
        <w:t xml:space="preserve"> and any relevant extrinsic material</w:t>
      </w:r>
      <w:r w:rsidR="00E9181A">
        <w:rPr>
          <w:rFonts w:cs="Calibri"/>
          <w:bCs/>
          <w:noProof/>
        </w:rPr>
        <w:t xml:space="preserve">.  The CDPP’s position is </w:t>
      </w:r>
      <w:r w:rsidRPr="00474DEC">
        <w:rPr>
          <w:rFonts w:cs="Calibri"/>
          <w:bCs/>
          <w:noProof/>
        </w:rPr>
        <w:t xml:space="preserve">that private disclosure by one public official to another for the purposes of performance of the latter’s functions does not consitute “publication” </w:t>
      </w:r>
      <w:r w:rsidRPr="00D6461E">
        <w:rPr>
          <w:rFonts w:cs="Calibri"/>
          <w:bCs/>
          <w:noProof/>
        </w:rPr>
        <w:t>as envisaged by the legislation</w:t>
      </w:r>
      <w:r w:rsidRPr="00582B30">
        <w:rPr>
          <w:rStyle w:val="FootnoteReference"/>
          <w:rFonts w:cs="Calibri"/>
          <w:bCs/>
          <w:noProof/>
        </w:rPr>
        <w:footnoteReference w:id="30"/>
      </w:r>
      <w:r w:rsidRPr="00582B30">
        <w:rPr>
          <w:rFonts w:cs="Calibri"/>
          <w:bCs/>
          <w:noProof/>
        </w:rPr>
        <w:t xml:space="preserve"> and therefore is not covered by the proposed suppression order.</w:t>
      </w:r>
    </w:p>
    <w:p w14:paraId="009F6396" w14:textId="77777777" w:rsidR="00A86738" w:rsidRPr="00582B30" w:rsidRDefault="00A86738" w:rsidP="00A86738">
      <w:pPr>
        <w:spacing w:after="0"/>
        <w:ind w:firstLine="720"/>
        <w:jc w:val="both"/>
        <w:rPr>
          <w:rFonts w:cs="Calibri"/>
          <w:bCs/>
          <w:noProof/>
        </w:rPr>
      </w:pPr>
      <w:r w:rsidRPr="00D6461E">
        <w:rPr>
          <w:rFonts w:cs="Calibri"/>
          <w:bCs/>
          <w:noProof/>
          <w:u w:val="single"/>
        </w:rPr>
        <w:t>In circumstances where the legislation provides that a suppression order prevents “dislosure”:</w:t>
      </w:r>
    </w:p>
    <w:p w14:paraId="7DBC24D1" w14:textId="4B24413B" w:rsidR="00A86738" w:rsidRPr="0016551D" w:rsidRDefault="00A86738" w:rsidP="00A86738">
      <w:pPr>
        <w:spacing w:after="0"/>
        <w:ind w:left="720"/>
        <w:jc w:val="both"/>
        <w:rPr>
          <w:rFonts w:cs="Calibri"/>
          <w:noProof/>
        </w:rPr>
      </w:pPr>
      <w:r>
        <w:rPr>
          <w:rFonts w:cs="Calibri"/>
          <w:noProof/>
        </w:rPr>
        <w:t xml:space="preserve">In circumstances where the court </w:t>
      </w:r>
      <w:r w:rsidR="0088240F">
        <w:rPr>
          <w:rFonts w:cs="Calibri"/>
          <w:noProof/>
        </w:rPr>
        <w:t>has concerns</w:t>
      </w:r>
      <w:r>
        <w:rPr>
          <w:rFonts w:cs="Calibri"/>
          <w:noProof/>
        </w:rPr>
        <w:t xml:space="preserve"> that the communication of information by one public official to another for the purposes of performance of the latter’s functions would infringe a proposed suppression order because the legislation prevents the ‘disclosure’ of information, then prosecutors </w:t>
      </w:r>
      <w:r w:rsidR="006F2BCD">
        <w:rPr>
          <w:rFonts w:cs="Calibri"/>
          <w:noProof/>
        </w:rPr>
        <w:t>should</w:t>
      </w:r>
      <w:r>
        <w:rPr>
          <w:rFonts w:cs="Calibri"/>
          <w:noProof/>
        </w:rPr>
        <w:t xml:space="preserve"> make appropriate submissions</w:t>
      </w:r>
      <w:r w:rsidR="0088240F">
        <w:rPr>
          <w:rFonts w:cs="Calibri"/>
          <w:noProof/>
        </w:rPr>
        <w:t xml:space="preserve"> as to why the private disclosure between government agencies for the performance of their functions is not caught by the legislation</w:t>
      </w:r>
      <w:r w:rsidR="006F2BCD">
        <w:rPr>
          <w:rFonts w:cs="Calibri"/>
          <w:noProof/>
        </w:rPr>
        <w:t>.  Prosecutors should support their arguments using any relevant case law and /or extrinsic material that helps elucidate the legislative intent of the provisions.</w:t>
      </w:r>
      <w:r>
        <w:rPr>
          <w:rFonts w:cs="Calibri"/>
          <w:noProof/>
        </w:rPr>
        <w:t xml:space="preserve"> </w:t>
      </w:r>
    </w:p>
    <w:p w14:paraId="12BF5AD3" w14:textId="339A77B8" w:rsidR="00A86738" w:rsidRPr="00782824" w:rsidRDefault="00A86738" w:rsidP="00A86738">
      <w:pPr>
        <w:spacing w:after="0"/>
        <w:jc w:val="both"/>
        <w:rPr>
          <w:rFonts w:cs="Calibri"/>
          <w:noProof/>
          <w:u w:val="single"/>
        </w:rPr>
      </w:pPr>
      <w:r w:rsidRPr="00782824">
        <w:rPr>
          <w:rFonts w:cs="Calibri"/>
          <w:noProof/>
          <w:u w:val="single"/>
        </w:rPr>
        <w:t>Where the court does not accept the Crown’s submission</w:t>
      </w:r>
      <w:r w:rsidR="00E9181A">
        <w:rPr>
          <w:rFonts w:cs="Calibri"/>
          <w:noProof/>
          <w:u w:val="single"/>
        </w:rPr>
        <w:t xml:space="preserve"> – suggested ‘carve out’ wording</w:t>
      </w:r>
      <w:r w:rsidRPr="00782824">
        <w:rPr>
          <w:rFonts w:cs="Calibri"/>
          <w:noProof/>
          <w:u w:val="single"/>
        </w:rPr>
        <w:t>:</w:t>
      </w:r>
    </w:p>
    <w:p w14:paraId="520C0E9E" w14:textId="0BEE1ED8" w:rsidR="00A86738" w:rsidRDefault="00A86738" w:rsidP="00A86738">
      <w:pPr>
        <w:spacing w:after="0"/>
        <w:jc w:val="both"/>
        <w:rPr>
          <w:rFonts w:cs="Calibri"/>
          <w:noProof/>
        </w:rPr>
      </w:pPr>
      <w:r>
        <w:rPr>
          <w:rFonts w:cs="Calibri"/>
          <w:noProof/>
        </w:rPr>
        <w:t xml:space="preserve">In rare cases where, after submissions have been made, the court remains of the view that </w:t>
      </w:r>
      <w:r w:rsidRPr="007D3390">
        <w:rPr>
          <w:rFonts w:cs="Calibri"/>
          <w:noProof/>
        </w:rPr>
        <w:t>disclosure to public officials is prevented by the suppression order</w:t>
      </w:r>
      <w:r>
        <w:rPr>
          <w:rFonts w:cs="Calibri"/>
          <w:noProof/>
        </w:rPr>
        <w:t xml:space="preserve">, the </w:t>
      </w:r>
      <w:r w:rsidR="0088240F">
        <w:rPr>
          <w:rFonts w:cs="Calibri"/>
          <w:noProof/>
        </w:rPr>
        <w:t>prosecution</w:t>
      </w:r>
      <w:r w:rsidRPr="007D3390">
        <w:rPr>
          <w:rFonts w:cs="Calibri"/>
          <w:noProof/>
        </w:rPr>
        <w:t xml:space="preserve"> </w:t>
      </w:r>
      <w:r w:rsidR="0088240F">
        <w:rPr>
          <w:rFonts w:cs="Calibri"/>
          <w:noProof/>
        </w:rPr>
        <w:t>should</w:t>
      </w:r>
      <w:r>
        <w:rPr>
          <w:rFonts w:cs="Calibri"/>
          <w:noProof/>
        </w:rPr>
        <w:t xml:space="preserve"> ask that the court </w:t>
      </w:r>
      <w:r w:rsidR="0088240F">
        <w:rPr>
          <w:rFonts w:cs="Calibri"/>
          <w:noProof/>
        </w:rPr>
        <w:t xml:space="preserve">to </w:t>
      </w:r>
      <w:r>
        <w:rPr>
          <w:rFonts w:cs="Calibri"/>
          <w:noProof/>
        </w:rPr>
        <w:t xml:space="preserve">include an express exception in the suppression order. </w:t>
      </w:r>
      <w:r w:rsidRPr="00BF3559">
        <w:rPr>
          <w:rFonts w:cs="Calibri"/>
          <w:noProof/>
        </w:rPr>
        <w:t xml:space="preserve">For example, the </w:t>
      </w:r>
      <w:r>
        <w:rPr>
          <w:rFonts w:cs="Calibri"/>
          <w:noProof/>
        </w:rPr>
        <w:t xml:space="preserve">following </w:t>
      </w:r>
      <w:r w:rsidRPr="00BF3559">
        <w:rPr>
          <w:rFonts w:cs="Calibri"/>
          <w:noProof/>
        </w:rPr>
        <w:t>wording</w:t>
      </w:r>
      <w:r>
        <w:rPr>
          <w:rFonts w:cs="Calibri"/>
          <w:noProof/>
        </w:rPr>
        <w:t xml:space="preserve"> can be used:</w:t>
      </w:r>
      <w:r w:rsidRPr="00BF3559">
        <w:rPr>
          <w:rFonts w:cs="Calibri"/>
          <w:noProof/>
        </w:rPr>
        <w:t xml:space="preserve"> </w:t>
      </w:r>
    </w:p>
    <w:p w14:paraId="08F5814A" w14:textId="630EB09A" w:rsidR="00186648" w:rsidRDefault="00A86738" w:rsidP="00B86866">
      <w:pPr>
        <w:spacing w:after="0"/>
        <w:jc w:val="both"/>
        <w:rPr>
          <w:rFonts w:cs="Calibri"/>
          <w:i/>
          <w:noProof/>
        </w:rPr>
      </w:pPr>
      <w:r w:rsidDel="00A86738">
        <w:rPr>
          <w:rFonts w:cs="Calibri"/>
          <w:noProof/>
        </w:rPr>
        <w:t xml:space="preserve"> </w:t>
      </w:r>
      <w:r w:rsidR="00A0490A" w:rsidRPr="008F0014">
        <w:rPr>
          <w:i/>
        </w:rPr>
        <w:t>“</w:t>
      </w:r>
      <w:r w:rsidR="00B86866" w:rsidRPr="00B86866">
        <w:rPr>
          <w:rFonts w:cs="Calibri"/>
          <w:i/>
          <w:noProof/>
        </w:rPr>
        <w:t>this suppression order does not prevent the disclosure of information where this done in the course of performing functions or duties</w:t>
      </w:r>
      <w:r w:rsidR="00B86866">
        <w:rPr>
          <w:rFonts w:cs="Calibri"/>
          <w:i/>
          <w:noProof/>
        </w:rPr>
        <w:t>,</w:t>
      </w:r>
      <w:r w:rsidR="00B86866" w:rsidRPr="00B86866">
        <w:rPr>
          <w:rFonts w:cs="Calibri"/>
          <w:i/>
          <w:noProof/>
        </w:rPr>
        <w:t xml:space="preserve"> or exercising powers</w:t>
      </w:r>
      <w:r w:rsidR="00B86866">
        <w:rPr>
          <w:rFonts w:cs="Calibri"/>
          <w:i/>
          <w:noProof/>
        </w:rPr>
        <w:t>,</w:t>
      </w:r>
      <w:r w:rsidR="00B86866" w:rsidRPr="00B86866">
        <w:rPr>
          <w:rFonts w:cs="Calibri"/>
          <w:i/>
          <w:noProof/>
        </w:rPr>
        <w:t xml:space="preserve"> in a public official capacity</w:t>
      </w:r>
      <w:r w:rsidR="00B86866">
        <w:rPr>
          <w:rFonts w:cs="Calibri"/>
          <w:i/>
          <w:noProof/>
        </w:rPr>
        <w:t xml:space="preserve"> </w:t>
      </w:r>
      <w:r w:rsidR="00B86866" w:rsidRPr="00B86866">
        <w:rPr>
          <w:rFonts w:cs="Calibri"/>
          <w:i/>
          <w:noProof/>
        </w:rPr>
        <w:t>in connection with the conduct of proceedings or the recovery or enforcement of any penalty imposed in proceedings</w:t>
      </w:r>
      <w:r w:rsidR="00A0490A" w:rsidRPr="00DE363F">
        <w:rPr>
          <w:rFonts w:cs="Calibri"/>
          <w:i/>
          <w:noProof/>
        </w:rPr>
        <w:t>”.</w:t>
      </w:r>
      <w:r w:rsidR="0068018B" w:rsidRPr="008F0014">
        <w:rPr>
          <w:rStyle w:val="FootnoteReference"/>
        </w:rPr>
        <w:footnoteReference w:id="31"/>
      </w:r>
      <w:r w:rsidR="00A0490A" w:rsidRPr="008F0014">
        <w:rPr>
          <w:i/>
        </w:rPr>
        <w:t xml:space="preserve"> </w:t>
      </w:r>
    </w:p>
    <w:p w14:paraId="71BF0C4F" w14:textId="48FC4B5D" w:rsidR="008A2F02" w:rsidRDefault="008A2F02" w:rsidP="008A2F02">
      <w:pPr>
        <w:spacing w:after="0"/>
        <w:jc w:val="both"/>
        <w:rPr>
          <w:rFonts w:cs="Calibri"/>
          <w:noProof/>
        </w:rPr>
      </w:pPr>
    </w:p>
    <w:p w14:paraId="35128E93" w14:textId="77777777" w:rsidR="00B86866" w:rsidRDefault="00B86866" w:rsidP="008A2F02">
      <w:pPr>
        <w:spacing w:after="0"/>
        <w:jc w:val="both"/>
        <w:rPr>
          <w:rFonts w:cs="Calibri"/>
          <w:b/>
          <w:bCs/>
          <w:noProof/>
          <w:u w:val="single"/>
        </w:rPr>
      </w:pPr>
    </w:p>
    <w:p w14:paraId="1E7E5880" w14:textId="77777777" w:rsidR="008C723C" w:rsidRDefault="008C723C" w:rsidP="008A2F02">
      <w:pPr>
        <w:spacing w:after="0"/>
        <w:jc w:val="both"/>
        <w:rPr>
          <w:rFonts w:cs="Calibri"/>
          <w:b/>
          <w:bCs/>
          <w:noProof/>
          <w:u w:val="single"/>
        </w:rPr>
      </w:pPr>
    </w:p>
    <w:p w14:paraId="117D7BD0" w14:textId="77777777" w:rsidR="008C723C" w:rsidRDefault="008C723C" w:rsidP="008A2F02">
      <w:pPr>
        <w:spacing w:after="0"/>
        <w:jc w:val="both"/>
        <w:rPr>
          <w:rFonts w:cs="Calibri"/>
          <w:b/>
          <w:bCs/>
          <w:noProof/>
          <w:u w:val="single"/>
        </w:rPr>
      </w:pPr>
    </w:p>
    <w:p w14:paraId="49A44670" w14:textId="77777777" w:rsidR="00FC3A60" w:rsidRDefault="00FC3A60" w:rsidP="008A2F02">
      <w:pPr>
        <w:spacing w:after="0"/>
        <w:jc w:val="both"/>
        <w:rPr>
          <w:rFonts w:cs="Calibri"/>
          <w:b/>
          <w:bCs/>
          <w:noProof/>
          <w:u w:val="single"/>
        </w:rPr>
      </w:pPr>
    </w:p>
    <w:p w14:paraId="312C1F1A" w14:textId="77777777" w:rsidR="00FC3A60" w:rsidRDefault="00FC3A60" w:rsidP="008A2F02">
      <w:pPr>
        <w:spacing w:after="0"/>
        <w:jc w:val="both"/>
        <w:rPr>
          <w:rFonts w:cs="Calibri"/>
          <w:b/>
          <w:bCs/>
          <w:noProof/>
          <w:u w:val="single"/>
        </w:rPr>
      </w:pPr>
    </w:p>
    <w:p w14:paraId="4948329A" w14:textId="3E2F21AF" w:rsidR="008A2F02" w:rsidRDefault="008A2F02" w:rsidP="008A2F02">
      <w:pPr>
        <w:spacing w:after="0"/>
        <w:jc w:val="both"/>
        <w:rPr>
          <w:rFonts w:cs="Calibri"/>
          <w:b/>
          <w:bCs/>
          <w:noProof/>
          <w:u w:val="single"/>
        </w:rPr>
      </w:pPr>
      <w:r w:rsidRPr="00AA799B">
        <w:rPr>
          <w:rFonts w:cs="Calibri"/>
          <w:b/>
          <w:bCs/>
          <w:noProof/>
          <w:u w:val="single"/>
        </w:rPr>
        <w:t>Guidance for</w:t>
      </w:r>
      <w:r>
        <w:rPr>
          <w:rFonts w:cs="Calibri"/>
          <w:b/>
          <w:bCs/>
          <w:noProof/>
          <w:u w:val="single"/>
        </w:rPr>
        <w:t xml:space="preserve"> all jurisdictions where the order is made pursuant to Commonwealth legislation</w:t>
      </w:r>
    </w:p>
    <w:p w14:paraId="0D9EE0C6" w14:textId="7F1EA995" w:rsidR="006F2BCD" w:rsidRDefault="006F2BCD" w:rsidP="006F2BCD">
      <w:pPr>
        <w:spacing w:after="0"/>
        <w:jc w:val="both"/>
      </w:pPr>
      <w:r>
        <w:t xml:space="preserve">For suppression orders made under </w:t>
      </w:r>
      <w:r w:rsidRPr="006223DE">
        <w:t xml:space="preserve">Commonwealth </w:t>
      </w:r>
      <w:r>
        <w:t>legislation, prosecutors should have regard to the relevant Commonwealth statute in order to ascertain whether suppression orders contain an explicit exception for certain public officials.</w:t>
      </w:r>
      <w:r>
        <w:rPr>
          <w:rStyle w:val="FootnoteReference"/>
        </w:rPr>
        <w:footnoteReference w:id="32"/>
      </w:r>
      <w:r>
        <w:t xml:space="preserve"> If the legislation does not provide an exception, the wording of the particular statute should be considered, together with any relevant case law and extrinsic material.  If there is any </w:t>
      </w:r>
      <w:r w:rsidR="0088240F">
        <w:t xml:space="preserve">real </w:t>
      </w:r>
      <w:r>
        <w:t xml:space="preserve">doubt about whether </w:t>
      </w:r>
      <w:r w:rsidR="0088240F">
        <w:t xml:space="preserve">the work of public </w:t>
      </w:r>
      <w:r w:rsidR="00DE363F">
        <w:t>officials</w:t>
      </w:r>
      <w:r w:rsidR="0088240F">
        <w:t xml:space="preserve"> is an exception to the ambit of the suppression order</w:t>
      </w:r>
      <w:r w:rsidR="00644E1B">
        <w:t xml:space="preserve">, the </w:t>
      </w:r>
      <w:r>
        <w:t xml:space="preserve">proper course is to raise the issue with the court to seek clarification of whether exception wording is required in the order.  </w:t>
      </w:r>
    </w:p>
    <w:p w14:paraId="1AFBB749" w14:textId="3E83C086" w:rsidR="006F2BCD" w:rsidRPr="00BF3559" w:rsidRDefault="006F2BCD" w:rsidP="008F0014">
      <w:pPr>
        <w:spacing w:after="0"/>
        <w:jc w:val="both"/>
      </w:pPr>
      <w:r w:rsidRPr="008F0014">
        <w:rPr>
          <w:b/>
          <w:bCs/>
          <w:u w:val="single"/>
        </w:rPr>
        <w:t>Guidance for all jurisdictions where the order is made pursuant to inherent/implied power</w:t>
      </w:r>
    </w:p>
    <w:p w14:paraId="45B318ED" w14:textId="46A5672D" w:rsidR="006F2BCD" w:rsidRDefault="00F74C2D" w:rsidP="008F0014">
      <w:pPr>
        <w:suppressAutoHyphens w:val="0"/>
        <w:spacing w:after="0" w:line="240" w:lineRule="auto"/>
      </w:pPr>
      <w:r>
        <w:t xml:space="preserve">These are very rare and there is limited judicial consideration.  </w:t>
      </w:r>
      <w:r w:rsidR="006F2BCD">
        <w:t xml:space="preserve">For suppression orders made pursuant to the court’s inherent/implied power, the proper course is to raise the issue with the court to seek clarification of whether exception wording is required in the order.  </w:t>
      </w:r>
    </w:p>
    <w:p w14:paraId="63A61545" w14:textId="77777777" w:rsidR="006F2BCD" w:rsidRPr="002746C1" w:rsidRDefault="006F2BCD" w:rsidP="008F0014">
      <w:pPr>
        <w:spacing w:after="0"/>
        <w:jc w:val="both"/>
        <w:rPr>
          <w:rFonts w:cs="Calibri"/>
          <w:noProof/>
        </w:rPr>
      </w:pPr>
    </w:p>
    <w:sectPr w:rsidR="006F2BCD" w:rsidRPr="002746C1" w:rsidSect="00251F0B">
      <w:headerReference w:type="default" r:id="rId12"/>
      <w:footerReference w:type="default" r:id="rId13"/>
      <w:headerReference w:type="first" r:id="rId14"/>
      <w:footerReference w:type="first" r:id="rId15"/>
      <w:type w:val="continuous"/>
      <w:pgSz w:w="11906" w:h="16838" w:code="9"/>
      <w:pgMar w:top="851" w:right="1134" w:bottom="993"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EE78" w14:textId="77777777" w:rsidR="002A4A54" w:rsidRDefault="002A4A54" w:rsidP="005D0115">
      <w:pPr>
        <w:spacing w:before="0" w:after="0" w:line="240" w:lineRule="auto"/>
      </w:pPr>
      <w:r>
        <w:separator/>
      </w:r>
    </w:p>
  </w:endnote>
  <w:endnote w:type="continuationSeparator" w:id="0">
    <w:p w14:paraId="03F234BD" w14:textId="77777777" w:rsidR="002A4A54" w:rsidRDefault="002A4A54" w:rsidP="005D0115">
      <w:pPr>
        <w:spacing w:before="0" w:after="0" w:line="240" w:lineRule="auto"/>
      </w:pPr>
      <w:r>
        <w:continuationSeparator/>
      </w:r>
    </w:p>
  </w:endnote>
  <w:endnote w:type="continuationNotice" w:id="1">
    <w:p w14:paraId="7675AEC1" w14:textId="77777777" w:rsidR="002A4A54" w:rsidRDefault="002A4A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6D095" w14:textId="77777777" w:rsidR="000B160E" w:rsidRPr="00351DD0" w:rsidRDefault="000B160E" w:rsidP="00481E42">
    <w:pPr>
      <w:pStyle w:val="Footer"/>
      <w:tabs>
        <w:tab w:val="clear" w:pos="9026"/>
        <w:tab w:val="right" w:pos="9639"/>
      </w:tabs>
      <w:rPr>
        <w:b/>
      </w:rPr>
    </w:pPr>
    <w:r>
      <w:tab/>
    </w:r>
    <w:r>
      <w:tab/>
    </w:r>
    <w:r w:rsidR="008B188D" w:rsidRPr="00351DD0">
      <w:rPr>
        <w:b/>
      </w:rPr>
      <w:fldChar w:fldCharType="begin"/>
    </w:r>
    <w:r w:rsidRPr="00351DD0">
      <w:rPr>
        <w:b/>
      </w:rPr>
      <w:instrText xml:space="preserve"> PAGE   \* MERGEFORMAT </w:instrText>
    </w:r>
    <w:r w:rsidR="008B188D" w:rsidRPr="00351DD0">
      <w:rPr>
        <w:b/>
      </w:rPr>
      <w:fldChar w:fldCharType="separate"/>
    </w:r>
    <w:r w:rsidR="00741914">
      <w:rPr>
        <w:b/>
        <w:noProof/>
      </w:rPr>
      <w:t>2</w:t>
    </w:r>
    <w:r w:rsidR="008B188D" w:rsidRPr="00351DD0">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D44E" w14:textId="77777777" w:rsidR="000B160E" w:rsidRPr="00351DD0" w:rsidRDefault="000B160E" w:rsidP="00481E42">
    <w:pPr>
      <w:pStyle w:val="Footer"/>
      <w:tabs>
        <w:tab w:val="clear" w:pos="9026"/>
        <w:tab w:val="right" w:pos="9639"/>
      </w:tabs>
      <w:rPr>
        <w:b/>
      </w:rPr>
    </w:pPr>
    <w:r>
      <w:tab/>
    </w:r>
    <w:r>
      <w:tab/>
    </w:r>
    <w:r w:rsidR="008B188D" w:rsidRPr="00351DD0">
      <w:rPr>
        <w:b/>
      </w:rPr>
      <w:fldChar w:fldCharType="begin"/>
    </w:r>
    <w:r w:rsidRPr="00351DD0">
      <w:rPr>
        <w:b/>
      </w:rPr>
      <w:instrText xml:space="preserve"> PAGE   \* MERGEFORMAT </w:instrText>
    </w:r>
    <w:r w:rsidR="008B188D" w:rsidRPr="00351DD0">
      <w:rPr>
        <w:b/>
      </w:rPr>
      <w:fldChar w:fldCharType="separate"/>
    </w:r>
    <w:r w:rsidR="00741914">
      <w:rPr>
        <w:b/>
        <w:noProof/>
      </w:rPr>
      <w:t>1</w:t>
    </w:r>
    <w:r w:rsidR="008B188D" w:rsidRPr="00351DD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62E84" w14:textId="77777777" w:rsidR="002A4A54" w:rsidRDefault="002A4A54" w:rsidP="005D0115">
      <w:pPr>
        <w:spacing w:before="0" w:after="0" w:line="240" w:lineRule="auto"/>
      </w:pPr>
      <w:r>
        <w:separator/>
      </w:r>
    </w:p>
  </w:footnote>
  <w:footnote w:type="continuationSeparator" w:id="0">
    <w:p w14:paraId="5DF2400C" w14:textId="77777777" w:rsidR="002A4A54" w:rsidRDefault="002A4A54" w:rsidP="005D0115">
      <w:pPr>
        <w:spacing w:before="0" w:after="0" w:line="240" w:lineRule="auto"/>
      </w:pPr>
      <w:r>
        <w:continuationSeparator/>
      </w:r>
    </w:p>
  </w:footnote>
  <w:footnote w:type="continuationNotice" w:id="1">
    <w:p w14:paraId="55D4DB57" w14:textId="77777777" w:rsidR="002A4A54" w:rsidRDefault="002A4A54">
      <w:pPr>
        <w:spacing w:before="0" w:after="0" w:line="240" w:lineRule="auto"/>
      </w:pPr>
    </w:p>
  </w:footnote>
  <w:footnote w:id="2">
    <w:p w14:paraId="6F644B05" w14:textId="77777777" w:rsidR="004631C2" w:rsidRDefault="004631C2" w:rsidP="00D6461E">
      <w:pPr>
        <w:pStyle w:val="FootnoteText"/>
        <w:spacing w:before="0" w:after="0" w:line="240" w:lineRule="auto"/>
      </w:pPr>
      <w:r>
        <w:rPr>
          <w:rStyle w:val="FootnoteReference"/>
        </w:rPr>
        <w:footnoteRef/>
      </w:r>
      <w:r>
        <w:t xml:space="preserve"> </w:t>
      </w:r>
      <w:r w:rsidR="00DA3583">
        <w:t>Certain p</w:t>
      </w:r>
      <w:r>
        <w:t>ower</w:t>
      </w:r>
      <w:r w:rsidR="00DA3583">
        <w:t>s</w:t>
      </w:r>
      <w:r>
        <w:t xml:space="preserve"> can be implied from the statutory</w:t>
      </w:r>
      <w:r w:rsidRPr="004631C2">
        <w:t xml:space="preserve"> conferral of a criminal jurisdiction on</w:t>
      </w:r>
      <w:r>
        <w:t xml:space="preserve"> such a court</w:t>
      </w:r>
      <w:r w:rsidR="00E95C2E">
        <w:t xml:space="preserve">: </w:t>
      </w:r>
      <w:r w:rsidR="00E95C2E" w:rsidRPr="00D6461E">
        <w:rPr>
          <w:i/>
          <w:iCs/>
        </w:rPr>
        <w:t>John Fairfax Publications Pty Ltd and Another V District Court Of New South Wales And Others</w:t>
      </w:r>
      <w:r w:rsidR="00E95C2E">
        <w:t xml:space="preserve"> [2004] NSWCA 324</w:t>
      </w:r>
      <w:r w:rsidR="00DA3583">
        <w:t>.</w:t>
      </w:r>
    </w:p>
  </w:footnote>
  <w:footnote w:id="3">
    <w:p w14:paraId="759EF98C" w14:textId="77777777" w:rsidR="004631C2" w:rsidRDefault="004631C2" w:rsidP="00D6461E">
      <w:pPr>
        <w:pStyle w:val="FootnoteText"/>
        <w:spacing w:before="0" w:after="0" w:line="240" w:lineRule="auto"/>
      </w:pPr>
      <w:r>
        <w:rPr>
          <w:rStyle w:val="FootnoteReference"/>
        </w:rPr>
        <w:footnoteRef/>
      </w:r>
      <w:r>
        <w:t xml:space="preserve"> Inherent </w:t>
      </w:r>
      <w:r w:rsidRPr="004631C2">
        <w:t>jurisdiction is</w:t>
      </w:r>
      <w:r w:rsidR="00DA3583">
        <w:t xml:space="preserve"> historically</w:t>
      </w:r>
      <w:r w:rsidRPr="004631C2">
        <w:t xml:space="preserve"> conferred</w:t>
      </w:r>
      <w:r>
        <w:t xml:space="preserve"> on </w:t>
      </w:r>
      <w:r w:rsidR="00DA3583">
        <w:t xml:space="preserve">the </w:t>
      </w:r>
      <w:r>
        <w:t>Supreme Court</w:t>
      </w:r>
      <w:r w:rsidR="00DA3583">
        <w:t xml:space="preserve"> and the </w:t>
      </w:r>
      <w:r w:rsidR="00582B30">
        <w:t xml:space="preserve">continued </w:t>
      </w:r>
      <w:r w:rsidR="00DA3583">
        <w:t xml:space="preserve">existence of the Court is </w:t>
      </w:r>
      <w:r w:rsidR="00582B30">
        <w:t>provided for</w:t>
      </w:r>
      <w:r w:rsidR="00DA3583">
        <w:t xml:space="preserve"> by modern legislation. The Supreme Court</w:t>
      </w:r>
      <w:r>
        <w:t xml:space="preserve"> </w:t>
      </w:r>
      <w:r w:rsidR="00DA3583">
        <w:t>therefore has</w:t>
      </w:r>
      <w:r>
        <w:t xml:space="preserve"> an inherent power to regulate </w:t>
      </w:r>
      <w:r w:rsidR="00582B30">
        <w:t>its</w:t>
      </w:r>
      <w:r>
        <w:t xml:space="preserve"> own proceedings for the purpose of administering justice</w:t>
      </w:r>
      <w:r w:rsidR="00E95C2E" w:rsidRPr="00D6461E">
        <w:rPr>
          <w:i/>
          <w:iCs/>
        </w:rPr>
        <w:t xml:space="preserve">: John Fairfax v Police Tribunal, in Ex </w:t>
      </w:r>
      <w:r w:rsidR="00E95C2E" w:rsidRPr="00D6461E">
        <w:rPr>
          <w:i/>
          <w:iCs/>
        </w:rPr>
        <w:t xml:space="preserve">parte Queensland Law Society </w:t>
      </w:r>
      <w:r w:rsidR="00E95C2E">
        <w:t xml:space="preserve">[1984] 1 Qd R 166 at 170. </w:t>
      </w:r>
    </w:p>
  </w:footnote>
  <w:footnote w:id="4">
    <w:p w14:paraId="6ED85E14" w14:textId="77777777" w:rsidR="00F70396" w:rsidRDefault="00F70396" w:rsidP="00D6461E">
      <w:pPr>
        <w:pStyle w:val="FootnoteText"/>
        <w:spacing w:before="0" w:after="0" w:line="240" w:lineRule="auto"/>
      </w:pPr>
      <w:r>
        <w:rPr>
          <w:rStyle w:val="FootnoteReference"/>
        </w:rPr>
        <w:footnoteRef/>
      </w:r>
      <w:r>
        <w:t xml:space="preserve"> For example, in Queensland, Western Australia, Tasmania, the A.C.T, the N.T, and South Australia, where the person to be subject to the proposed order is </w:t>
      </w:r>
      <w:r w:rsidRPr="00D6461E">
        <w:rPr>
          <w:u w:val="single"/>
        </w:rPr>
        <w:t>not</w:t>
      </w:r>
      <w:r>
        <w:t xml:space="preserve"> a victim of a sexual offence, child, Police informant or operative, person covered by national security/defence legislation, or other category of persons referenced in legislation. </w:t>
      </w:r>
    </w:p>
  </w:footnote>
  <w:footnote w:id="5">
    <w:p w14:paraId="7D9E0698" w14:textId="77777777" w:rsidR="00E95C2E" w:rsidRDefault="00E95C2E" w:rsidP="00D6461E">
      <w:pPr>
        <w:pStyle w:val="FootnoteText"/>
        <w:spacing w:before="0" w:after="0" w:line="240" w:lineRule="auto"/>
      </w:pPr>
      <w:r>
        <w:rPr>
          <w:rStyle w:val="FootnoteReference"/>
        </w:rPr>
        <w:footnoteRef/>
      </w:r>
      <w:r>
        <w:t xml:space="preserve"> </w:t>
      </w:r>
      <w:r w:rsidRPr="00706BC1">
        <w:rPr>
          <w:i/>
          <w:iCs/>
        </w:rPr>
        <w:t xml:space="preserve">John Fairfax Publications Pty Ltd and Another V District Court </w:t>
      </w:r>
      <w:r w:rsidRPr="00706BC1">
        <w:rPr>
          <w:i/>
          <w:iCs/>
        </w:rPr>
        <w:t>Of New South Wales And Others</w:t>
      </w:r>
      <w:r>
        <w:t xml:space="preserve"> [2004] NSWCA 324.</w:t>
      </w:r>
    </w:p>
  </w:footnote>
  <w:footnote w:id="6">
    <w:p w14:paraId="006460FF" w14:textId="77777777" w:rsidR="000B4A60" w:rsidRDefault="000B4A60" w:rsidP="00325BC6">
      <w:pPr>
        <w:pStyle w:val="FootnoteText"/>
        <w:spacing w:before="0" w:after="0" w:line="240" w:lineRule="auto"/>
      </w:pPr>
      <w:r>
        <w:rPr>
          <w:rStyle w:val="FootnoteReference"/>
        </w:rPr>
        <w:footnoteRef/>
      </w:r>
      <w:r w:rsidR="00DE2C9B">
        <w:t xml:space="preserve"> For example, the </w:t>
      </w:r>
      <w:r w:rsidR="00001FFB">
        <w:rPr>
          <w:i/>
        </w:rPr>
        <w:t>Court</w:t>
      </w:r>
      <w:r w:rsidRPr="004F3D38">
        <w:rPr>
          <w:i/>
        </w:rPr>
        <w:t xml:space="preserve"> Su</w:t>
      </w:r>
      <w:r w:rsidR="00892D38" w:rsidRPr="004F3D38">
        <w:rPr>
          <w:i/>
        </w:rPr>
        <w:t>ppression a</w:t>
      </w:r>
      <w:r w:rsidRPr="004F3D38">
        <w:rPr>
          <w:i/>
        </w:rPr>
        <w:t>nd Non-Publication Orders Act 2010</w:t>
      </w:r>
      <w:r w:rsidR="004F3D38">
        <w:t xml:space="preserve"> (NSW), and</w:t>
      </w:r>
      <w:r>
        <w:t xml:space="preserve"> </w:t>
      </w:r>
      <w:r w:rsidR="00DE2C9B">
        <w:t xml:space="preserve">the </w:t>
      </w:r>
      <w:r w:rsidRPr="004F3D38">
        <w:rPr>
          <w:i/>
        </w:rPr>
        <w:t xml:space="preserve">Open </w:t>
      </w:r>
      <w:r w:rsidR="00001FFB">
        <w:rPr>
          <w:i/>
        </w:rPr>
        <w:t>Court</w:t>
      </w:r>
      <w:r w:rsidR="006124C9">
        <w:rPr>
          <w:i/>
        </w:rPr>
        <w:t>s</w:t>
      </w:r>
      <w:r w:rsidRPr="004F3D38">
        <w:rPr>
          <w:i/>
        </w:rPr>
        <w:t xml:space="preserve"> Act 2013</w:t>
      </w:r>
      <w:r w:rsidRPr="007C5773">
        <w:t xml:space="preserve"> (Vic)</w:t>
      </w:r>
      <w:r>
        <w:t>.</w:t>
      </w:r>
    </w:p>
  </w:footnote>
  <w:footnote w:id="7">
    <w:p w14:paraId="25E9D6DA" w14:textId="77777777" w:rsidR="00D84A95" w:rsidRDefault="00D84A95" w:rsidP="00D84A95">
      <w:pPr>
        <w:pStyle w:val="FootnoteText"/>
        <w:spacing w:before="0" w:after="0"/>
      </w:pPr>
      <w:r>
        <w:rPr>
          <w:rStyle w:val="FootnoteReference"/>
        </w:rPr>
        <w:footnoteRef/>
      </w:r>
      <w:r>
        <w:t xml:space="preserve"> For example, in the Australian Capital Territory, </w:t>
      </w:r>
      <w:r w:rsidRPr="00325BC6">
        <w:t>Northern Territory</w:t>
      </w:r>
      <w:r>
        <w:t xml:space="preserve">, </w:t>
      </w:r>
      <w:r w:rsidRPr="00325BC6">
        <w:t>South Australia</w:t>
      </w:r>
      <w:r>
        <w:t xml:space="preserve">, </w:t>
      </w:r>
      <w:r w:rsidRPr="00325BC6">
        <w:t>Tasmania</w:t>
      </w:r>
      <w:r>
        <w:t xml:space="preserve">, and </w:t>
      </w:r>
      <w:r w:rsidRPr="00325BC6">
        <w:t>Western Australia</w:t>
      </w:r>
      <w:r>
        <w:t xml:space="preserve">, the respective </w:t>
      </w:r>
      <w:r w:rsidRPr="00ED3BBA">
        <w:rPr>
          <w:i/>
        </w:rPr>
        <w:t>Evidence Acts</w:t>
      </w:r>
      <w:r>
        <w:t xml:space="preserve"> include provisions for suppression orders.</w:t>
      </w:r>
    </w:p>
  </w:footnote>
  <w:footnote w:id="8">
    <w:p w14:paraId="16E4363A" w14:textId="77777777" w:rsidR="00F529A4" w:rsidRDefault="00F529A4" w:rsidP="00325BC6">
      <w:pPr>
        <w:pStyle w:val="FootnoteText"/>
        <w:spacing w:before="0" w:after="0"/>
      </w:pPr>
      <w:r>
        <w:rPr>
          <w:rStyle w:val="FootnoteReference"/>
        </w:rPr>
        <w:footnoteRef/>
      </w:r>
      <w:r>
        <w:t xml:space="preserve"> </w:t>
      </w:r>
      <w:r w:rsidRPr="00E04330">
        <w:rPr>
          <w:i/>
        </w:rPr>
        <w:t>R v Nationwide News Pty Ltd</w:t>
      </w:r>
      <w:r>
        <w:t xml:space="preserve"> </w:t>
      </w:r>
      <w:r w:rsidRPr="00E04330">
        <w:t xml:space="preserve">[2008] </w:t>
      </w:r>
      <w:r w:rsidRPr="0024418F">
        <w:t>VSC 526</w:t>
      </w:r>
      <w:r>
        <w:t xml:space="preserve"> (</w:t>
      </w:r>
      <w:r w:rsidRPr="0024418F">
        <w:t>222 FLR 295</w:t>
      </w:r>
      <w:r>
        <w:t xml:space="preserve">). The </w:t>
      </w:r>
      <w:r w:rsidR="006124C9">
        <w:t>c</w:t>
      </w:r>
      <w:r w:rsidR="00001FFB">
        <w:t>ourt</w:t>
      </w:r>
      <w:r>
        <w:t xml:space="preserve"> held that </w:t>
      </w:r>
      <w:r w:rsidR="00E90D48">
        <w:t>Magistrates</w:t>
      </w:r>
      <w:r w:rsidRPr="009B1D31">
        <w:t xml:space="preserve"> </w:t>
      </w:r>
      <w:r w:rsidR="00001FFB">
        <w:t>Court</w:t>
      </w:r>
      <w:r w:rsidRPr="009B1D31">
        <w:t xml:space="preserve"> of Victoria </w:t>
      </w:r>
      <w:r>
        <w:t xml:space="preserve">in a federal prosecution </w:t>
      </w:r>
      <w:r w:rsidRPr="009B1D31">
        <w:t xml:space="preserve">was not empowered </w:t>
      </w:r>
      <w:r w:rsidR="00E90D48">
        <w:t>under</w:t>
      </w:r>
      <w:r w:rsidR="00483FD7">
        <w:t xml:space="preserve"> </w:t>
      </w:r>
      <w:r w:rsidR="00935B53">
        <w:t>Victorian</w:t>
      </w:r>
      <w:r w:rsidR="00483FD7">
        <w:t xml:space="preserve"> legislation </w:t>
      </w:r>
      <w:r w:rsidRPr="009B1D31">
        <w:t>to make a non-publication order in respect of conduct outside of Victoria</w:t>
      </w:r>
      <w:r w:rsidR="00483FD7">
        <w:t>.</w:t>
      </w:r>
      <w:r>
        <w:t xml:space="preserve"> Note that Victoria has since enacted new suppression order legislation allowing for extra-territoriality.</w:t>
      </w:r>
    </w:p>
  </w:footnote>
  <w:footnote w:id="9">
    <w:p w14:paraId="4C010671" w14:textId="77777777" w:rsidR="00325BC6" w:rsidRDefault="00325BC6" w:rsidP="00ED3BBA">
      <w:pPr>
        <w:pStyle w:val="FootnoteText"/>
        <w:spacing w:before="0" w:after="0"/>
      </w:pPr>
      <w:r>
        <w:rPr>
          <w:rStyle w:val="FootnoteReference"/>
        </w:rPr>
        <w:footnoteRef/>
      </w:r>
      <w:r>
        <w:t xml:space="preserve"> Victorian and New </w:t>
      </w:r>
      <w:r w:rsidR="00575776">
        <w:t xml:space="preserve">South Wales legislation </w:t>
      </w:r>
      <w:r w:rsidR="00E13E10">
        <w:t xml:space="preserve">explicitly </w:t>
      </w:r>
      <w:r w:rsidR="00575776">
        <w:t>provide</w:t>
      </w:r>
      <w:r>
        <w:t xml:space="preserve"> for extra-territoriality. </w:t>
      </w:r>
    </w:p>
  </w:footnote>
  <w:footnote w:id="10">
    <w:p w14:paraId="5E60FFCE" w14:textId="77777777" w:rsidR="008A3AA6" w:rsidRDefault="008A3AA6" w:rsidP="00E90D48">
      <w:pPr>
        <w:pStyle w:val="FootnoteText"/>
        <w:spacing w:before="0" w:after="0" w:line="240" w:lineRule="auto"/>
      </w:pPr>
      <w:r>
        <w:rPr>
          <w:rStyle w:val="FootnoteReference"/>
        </w:rPr>
        <w:footnoteRef/>
      </w:r>
      <w:r>
        <w:t xml:space="preserve"> </w:t>
      </w:r>
      <w:r w:rsidR="00136DFE">
        <w:t xml:space="preserve">Section </w:t>
      </w:r>
      <w:r w:rsidR="00892D38">
        <w:t>93.2</w:t>
      </w:r>
      <w:r w:rsidRPr="008A3AA6">
        <w:t xml:space="preserve"> </w:t>
      </w:r>
      <w:r w:rsidR="00E841BD" w:rsidRPr="00892D38">
        <w:rPr>
          <w:i/>
        </w:rPr>
        <w:t>Criminal Code</w:t>
      </w:r>
      <w:r w:rsidR="00E841BD" w:rsidRPr="00892D38">
        <w:t xml:space="preserve"> (</w:t>
      </w:r>
      <w:r w:rsidR="00E841BD" w:rsidRPr="00892D38">
        <w:t>Cth)</w:t>
      </w:r>
      <w:r w:rsidR="00E841BD" w:rsidRPr="008A3AA6">
        <w:t xml:space="preserve"> </w:t>
      </w:r>
      <w:r w:rsidRPr="008A3AA6">
        <w:t>enable</w:t>
      </w:r>
      <w:r w:rsidR="00136DFE">
        <w:t>s</w:t>
      </w:r>
      <w:r w:rsidRPr="008A3AA6">
        <w:t xml:space="preserve"> orders </w:t>
      </w:r>
      <w:r w:rsidR="002E0E06">
        <w:t xml:space="preserve">closing the </w:t>
      </w:r>
      <w:r w:rsidR="001B1847">
        <w:t>c</w:t>
      </w:r>
      <w:r w:rsidR="00001FFB">
        <w:t>ourt</w:t>
      </w:r>
      <w:r w:rsidR="002E0E06">
        <w:t xml:space="preserve">, </w:t>
      </w:r>
      <w:r w:rsidR="005C4882">
        <w:t xml:space="preserve">orders </w:t>
      </w:r>
      <w:r w:rsidRPr="008A3AA6">
        <w:t xml:space="preserve">limiting </w:t>
      </w:r>
      <w:r w:rsidR="002E0E06">
        <w:t xml:space="preserve">reports of proceedings, </w:t>
      </w:r>
      <w:r w:rsidR="00D37C23">
        <w:t>and</w:t>
      </w:r>
      <w:r w:rsidR="002E0E06">
        <w:t>/or</w:t>
      </w:r>
      <w:r w:rsidR="00D37C23">
        <w:t xml:space="preserve"> </w:t>
      </w:r>
      <w:r w:rsidR="005C4882">
        <w:t xml:space="preserve">orders </w:t>
      </w:r>
      <w:r w:rsidR="00D37C23">
        <w:t xml:space="preserve">limiting </w:t>
      </w:r>
      <w:r w:rsidRPr="008A3AA6">
        <w:t>access</w:t>
      </w:r>
      <w:r>
        <w:t xml:space="preserve"> </w:t>
      </w:r>
      <w:r w:rsidR="00E841BD">
        <w:t>to evidence</w:t>
      </w:r>
      <w:r w:rsidRPr="008A3AA6">
        <w:t>.</w:t>
      </w:r>
    </w:p>
  </w:footnote>
  <w:footnote w:id="11">
    <w:p w14:paraId="4A426B1C" w14:textId="77777777" w:rsidR="00EC5788" w:rsidRPr="008F0014" w:rsidRDefault="00EC5788" w:rsidP="00E90D48">
      <w:pPr>
        <w:pStyle w:val="FootnoteText"/>
        <w:spacing w:before="0" w:after="0"/>
        <w:rPr>
          <w:color w:val="auto"/>
        </w:rPr>
      </w:pPr>
      <w:r w:rsidRPr="008F0014">
        <w:rPr>
          <w:rStyle w:val="FootnoteReference"/>
          <w:color w:val="auto"/>
        </w:rPr>
        <w:footnoteRef/>
      </w:r>
      <w:r w:rsidRPr="008F0014">
        <w:rPr>
          <w:color w:val="auto"/>
        </w:rPr>
        <w:t xml:space="preserve"> See s15Y </w:t>
      </w:r>
      <w:r w:rsidRPr="008F0014">
        <w:rPr>
          <w:i/>
          <w:color w:val="auto"/>
        </w:rPr>
        <w:t>Crimes Act</w:t>
      </w:r>
      <w:r w:rsidRPr="008F0014">
        <w:rPr>
          <w:color w:val="auto"/>
        </w:rPr>
        <w:t xml:space="preserve"> (</w:t>
      </w:r>
      <w:r w:rsidRPr="008F0014">
        <w:rPr>
          <w:color w:val="auto"/>
        </w:rPr>
        <w:t>Cth) for a list of offence proceedings to which the automatic protections apply.</w:t>
      </w:r>
    </w:p>
  </w:footnote>
  <w:footnote w:id="12">
    <w:p w14:paraId="7113F2E0" w14:textId="77777777" w:rsidR="003A4D78" w:rsidRPr="008F0014" w:rsidRDefault="003A4D78" w:rsidP="00ED3BBA">
      <w:pPr>
        <w:pStyle w:val="FootnoteText"/>
        <w:spacing w:before="0" w:after="0" w:line="240" w:lineRule="auto"/>
        <w:rPr>
          <w:color w:val="auto"/>
        </w:rPr>
      </w:pPr>
      <w:r w:rsidRPr="008F0014">
        <w:rPr>
          <w:rStyle w:val="FootnoteReference"/>
          <w:color w:val="auto"/>
        </w:rPr>
        <w:footnoteRef/>
      </w:r>
      <w:r w:rsidRPr="008F0014">
        <w:rPr>
          <w:color w:val="auto"/>
        </w:rPr>
        <w:t xml:space="preserve"> High </w:t>
      </w:r>
      <w:r w:rsidR="00001FFB" w:rsidRPr="008F0014">
        <w:rPr>
          <w:color w:val="auto"/>
        </w:rPr>
        <w:t>Court</w:t>
      </w:r>
      <w:r w:rsidRPr="008F0014">
        <w:rPr>
          <w:color w:val="auto"/>
        </w:rPr>
        <w:t xml:space="preserve"> of Australia Practice Direction No 2 of 2010 </w:t>
      </w:r>
      <w:r w:rsidR="003E25C8" w:rsidRPr="008F0014">
        <w:rPr>
          <w:color w:val="auto"/>
        </w:rPr>
        <w:t>allows</w:t>
      </w:r>
      <w:r w:rsidRPr="008F0014">
        <w:rPr>
          <w:color w:val="auto"/>
        </w:rPr>
        <w:t xml:space="preserve"> </w:t>
      </w:r>
      <w:r w:rsidR="003D5E49" w:rsidRPr="008F0014">
        <w:rPr>
          <w:color w:val="auto"/>
        </w:rPr>
        <w:t xml:space="preserve">for the use of </w:t>
      </w:r>
      <w:r w:rsidRPr="008F0014">
        <w:rPr>
          <w:color w:val="auto"/>
        </w:rPr>
        <w:t>pseudonyms</w:t>
      </w:r>
      <w:r w:rsidR="003D5E49" w:rsidRPr="008F0014">
        <w:rPr>
          <w:color w:val="auto"/>
        </w:rPr>
        <w:t xml:space="preserve"> when a party makes its special leave application</w:t>
      </w:r>
      <w:r w:rsidRPr="008F0014">
        <w:rPr>
          <w:color w:val="auto"/>
        </w:rPr>
        <w:t xml:space="preserve">. </w:t>
      </w:r>
      <w:r w:rsidR="003D5E49" w:rsidRPr="008F0014">
        <w:rPr>
          <w:color w:val="auto"/>
        </w:rPr>
        <w:t xml:space="preserve">Refer also to High </w:t>
      </w:r>
      <w:r w:rsidR="00001FFB" w:rsidRPr="008F0014">
        <w:rPr>
          <w:color w:val="auto"/>
        </w:rPr>
        <w:t>Court</w:t>
      </w:r>
      <w:r w:rsidR="003D5E49" w:rsidRPr="008F0014">
        <w:rPr>
          <w:color w:val="auto"/>
        </w:rPr>
        <w:t xml:space="preserve"> of Australia Practice Direction No 1 of 2016 (‘Applications for a suppression order or non-publication order’). </w:t>
      </w:r>
    </w:p>
  </w:footnote>
  <w:footnote w:id="13">
    <w:p w14:paraId="2559762F" w14:textId="77777777" w:rsidR="00E67796" w:rsidRPr="008F0014" w:rsidRDefault="00E67796" w:rsidP="00DE363F">
      <w:pPr>
        <w:pStyle w:val="FootnoteText"/>
        <w:spacing w:before="0" w:after="0"/>
        <w:rPr>
          <w:color w:val="auto"/>
        </w:rPr>
      </w:pPr>
      <w:r w:rsidRPr="008F0014">
        <w:rPr>
          <w:rStyle w:val="FootnoteReference"/>
          <w:color w:val="auto"/>
        </w:rPr>
        <w:footnoteRef/>
      </w:r>
      <w:r w:rsidRPr="008F0014">
        <w:rPr>
          <w:color w:val="auto"/>
        </w:rPr>
        <w:t xml:space="preserve"> Refer </w:t>
      </w:r>
      <w:r w:rsidRPr="008F0014">
        <w:rPr>
          <w:i/>
          <w:color w:val="auto"/>
        </w:rPr>
        <w:t>IMM v The Queen</w:t>
      </w:r>
      <w:r w:rsidRPr="008F0014">
        <w:rPr>
          <w:color w:val="auto"/>
        </w:rPr>
        <w:t xml:space="preserve"> [2016] HCA 14 and </w:t>
      </w:r>
      <w:r w:rsidRPr="008F0014">
        <w:rPr>
          <w:i/>
          <w:color w:val="auto"/>
        </w:rPr>
        <w:t>Phillips v R</w:t>
      </w:r>
      <w:r w:rsidRPr="008F0014">
        <w:rPr>
          <w:color w:val="auto"/>
        </w:rPr>
        <w:t xml:space="preserve"> [2006] HCA 4; (2006) at para 81, for discussion of this issue.</w:t>
      </w:r>
    </w:p>
  </w:footnote>
  <w:footnote w:id="14">
    <w:p w14:paraId="3950102C" w14:textId="58C992B0" w:rsidR="00644E1B" w:rsidRPr="00A61602" w:rsidRDefault="00644E1B" w:rsidP="008F0014">
      <w:pPr>
        <w:pStyle w:val="FootnoteText"/>
        <w:spacing w:before="0" w:after="0"/>
      </w:pPr>
      <w:r w:rsidRPr="008F0014">
        <w:rPr>
          <w:rStyle w:val="FootnoteReference"/>
          <w:color w:val="auto"/>
        </w:rPr>
        <w:footnoteRef/>
      </w:r>
      <w:r w:rsidRPr="008F0014">
        <w:rPr>
          <w:color w:val="auto"/>
        </w:rPr>
        <w:t xml:space="preserve"> </w:t>
      </w:r>
      <w:r w:rsidRPr="008F0014">
        <w:rPr>
          <w:rFonts w:cs="Calibri"/>
          <w:color w:val="auto"/>
        </w:rPr>
        <w:t xml:space="preserve">Whilst there is some case law that provides that the private sharing of court-related information between individuals is not publication, those cases concern </w:t>
      </w:r>
      <w:r w:rsidRPr="008F0014">
        <w:rPr>
          <w:rFonts w:cs="Calibri"/>
          <w:color w:val="auto"/>
        </w:rPr>
        <w:t xml:space="preserve">particular legislation.  In </w:t>
      </w:r>
      <w:r w:rsidRPr="008F0014">
        <w:rPr>
          <w:rFonts w:cs="Calibri"/>
          <w:i/>
          <w:iCs/>
          <w:color w:val="auto"/>
        </w:rPr>
        <w:t xml:space="preserve">Roget v </w:t>
      </w:r>
      <w:r w:rsidRPr="008F0014">
        <w:rPr>
          <w:rFonts w:cs="Calibri"/>
          <w:i/>
          <w:iCs/>
          <w:color w:val="auto"/>
        </w:rPr>
        <w:t>Flavel (1987) 47 SASR 402</w:t>
      </w:r>
      <w:r w:rsidRPr="008F0014">
        <w:rPr>
          <w:rFonts w:cs="Calibri"/>
          <w:color w:val="auto"/>
        </w:rPr>
        <w:t xml:space="preserve"> the court observed that ‘publication’ was not a word of fixed meaning, and its precise meaning must depend on the context it is used, the mischief the legislation is designed to overcome and the need to construe the overall scheme created in a way that makes it workable.  On that basis, some caution is required in relying upon these authorities to construe the term ‘publication’ in other</w:t>
      </w:r>
      <w:r w:rsidRPr="008F0014">
        <w:rPr>
          <w:rFonts w:cs="Calibri"/>
          <w:caps/>
          <w:color w:val="auto"/>
        </w:rPr>
        <w:t xml:space="preserve"> </w:t>
      </w:r>
      <w:r w:rsidRPr="008F0014">
        <w:rPr>
          <w:rFonts w:cs="Calibri"/>
          <w:color w:val="auto"/>
        </w:rPr>
        <w:t>legislation.</w:t>
      </w:r>
    </w:p>
  </w:footnote>
  <w:footnote w:id="15">
    <w:p w14:paraId="454420EF" w14:textId="77777777" w:rsidR="000E1464" w:rsidRDefault="000E1464" w:rsidP="000E1464">
      <w:pPr>
        <w:pStyle w:val="FootnoteText"/>
        <w:spacing w:before="0" w:after="0"/>
      </w:pPr>
      <w:r>
        <w:rPr>
          <w:rStyle w:val="FootnoteReference"/>
        </w:rPr>
        <w:footnoteRef/>
      </w:r>
      <w:r>
        <w:t xml:space="preserve"> </w:t>
      </w:r>
      <w:r w:rsidRPr="00DE2C9B">
        <w:rPr>
          <w:i/>
        </w:rPr>
        <w:t>Dupas v Channel Seven Melbourne Pty Ltd</w:t>
      </w:r>
      <w:r w:rsidRPr="00181C3C">
        <w:t xml:space="preserve"> [2012] VSC 486; 226 A Crim R 53 at </w:t>
      </w:r>
      <w:r>
        <w:t>[</w:t>
      </w:r>
      <w:r w:rsidRPr="00181C3C">
        <w:t>57</w:t>
      </w:r>
      <w:r>
        <w:t>].</w:t>
      </w:r>
    </w:p>
  </w:footnote>
  <w:footnote w:id="16">
    <w:p w14:paraId="61B03BE7" w14:textId="77777777" w:rsidR="000E1464" w:rsidRDefault="000E1464" w:rsidP="000E1464">
      <w:pPr>
        <w:pStyle w:val="FootnoteText"/>
        <w:spacing w:before="0" w:after="0"/>
      </w:pPr>
      <w:r>
        <w:rPr>
          <w:rStyle w:val="FootnoteReference"/>
        </w:rPr>
        <w:footnoteRef/>
      </w:r>
      <w:r>
        <w:t xml:space="preserve"> The reasoning for this is that media and publishers must be able to see the expiry date on the face of the order, see </w:t>
      </w:r>
      <w:r w:rsidRPr="00DE2C9B">
        <w:rPr>
          <w:i/>
        </w:rPr>
        <w:t xml:space="preserve">Queensland Newspapers Pty Ltd v </w:t>
      </w:r>
      <w:r w:rsidRPr="00DE2C9B">
        <w:rPr>
          <w:i/>
        </w:rPr>
        <w:t>Stjernqvist</w:t>
      </w:r>
      <w:r w:rsidRPr="00181C3C">
        <w:t xml:space="preserve"> [2006] QSC 200; [2007] 1 Qd R 171 at [25]</w:t>
      </w:r>
      <w:r>
        <w:t xml:space="preserve">. </w:t>
      </w:r>
    </w:p>
  </w:footnote>
  <w:footnote w:id="17">
    <w:p w14:paraId="40F6E6E8" w14:textId="77777777" w:rsidR="00E03594" w:rsidRDefault="00E03594" w:rsidP="00E03594">
      <w:pPr>
        <w:pStyle w:val="FootnoteText"/>
        <w:spacing w:before="0" w:after="0"/>
      </w:pPr>
      <w:r>
        <w:rPr>
          <w:rStyle w:val="FootnoteReference"/>
        </w:rPr>
        <w:footnoteRef/>
      </w:r>
      <w:r>
        <w:t xml:space="preserve"> For example, victims of sexual offences are protected by suppression orders under the </w:t>
      </w:r>
      <w:r>
        <w:rPr>
          <w:i/>
        </w:rPr>
        <w:t>Federal Court o</w:t>
      </w:r>
      <w:r w:rsidRPr="004B433C">
        <w:rPr>
          <w:i/>
        </w:rPr>
        <w:t>f Australia Act</w:t>
      </w:r>
      <w:r w:rsidRPr="002D5A53">
        <w:t xml:space="preserve"> </w:t>
      </w:r>
      <w:r w:rsidRPr="004B433C">
        <w:rPr>
          <w:i/>
        </w:rPr>
        <w:t>1976</w:t>
      </w:r>
      <w:r>
        <w:t xml:space="preserve"> (</w:t>
      </w:r>
      <w:r>
        <w:t>Cth)</w:t>
      </w:r>
      <w:r w:rsidRPr="002D5A53">
        <w:t xml:space="preserve"> - </w:t>
      </w:r>
      <w:r>
        <w:t>s</w:t>
      </w:r>
      <w:r w:rsidRPr="002D5A53">
        <w:t>37AG</w:t>
      </w:r>
      <w:r>
        <w:t xml:space="preserve">(1)(d) “(where) </w:t>
      </w:r>
      <w:r w:rsidRPr="002D5A53">
        <w:t xml:space="preserve">the order is necessary to avoid causing undue distress or embarrassment to a party to or witness in a criminal proceeding involving an offence of a sexual nature </w:t>
      </w:r>
      <w:r>
        <w:t>(including an act of indecency)”. State and Territory legislation contain similar provisions.</w:t>
      </w:r>
    </w:p>
  </w:footnote>
  <w:footnote w:id="18">
    <w:p w14:paraId="5B0531E3" w14:textId="77777777" w:rsidR="00E03594" w:rsidRDefault="00E03594" w:rsidP="00E03594">
      <w:pPr>
        <w:pStyle w:val="FootnoteText"/>
        <w:spacing w:before="0" w:after="0"/>
      </w:pPr>
      <w:r>
        <w:rPr>
          <w:rStyle w:val="FootnoteReference"/>
        </w:rPr>
        <w:footnoteRef/>
      </w:r>
      <w:r>
        <w:t xml:space="preserve"> The same applies to non-victim prosecution witnesses. See </w:t>
      </w:r>
      <w:r w:rsidRPr="004B433C">
        <w:rPr>
          <w:i/>
        </w:rPr>
        <w:t xml:space="preserve">John Fairfax Group Pty Ltd v Local </w:t>
      </w:r>
      <w:r>
        <w:rPr>
          <w:i/>
        </w:rPr>
        <w:t>Court</w:t>
      </w:r>
      <w:r w:rsidRPr="004B433C">
        <w:rPr>
          <w:i/>
        </w:rPr>
        <w:t xml:space="preserve"> of New South Wales</w:t>
      </w:r>
      <w:r w:rsidRPr="00395B94">
        <w:t xml:space="preserve"> (1991) NSWLR 131 at </w:t>
      </w:r>
      <w:r>
        <w:t>[</w:t>
      </w:r>
      <w:r w:rsidRPr="00395B94">
        <w:t>142</w:t>
      </w:r>
      <w:r>
        <w:t xml:space="preserve">] for a discussion of the balance between embarrassment and the principle of open justice.  </w:t>
      </w:r>
    </w:p>
  </w:footnote>
  <w:footnote w:id="19">
    <w:p w14:paraId="7157C8F9" w14:textId="77777777" w:rsidR="000C5586" w:rsidRDefault="000C5586" w:rsidP="002746C1">
      <w:pPr>
        <w:pStyle w:val="FootnoteText"/>
        <w:spacing w:before="0" w:after="0"/>
      </w:pPr>
      <w:r>
        <w:rPr>
          <w:rStyle w:val="FootnoteReference"/>
        </w:rPr>
        <w:footnoteRef/>
      </w:r>
      <w:r>
        <w:t xml:space="preserve"> </w:t>
      </w:r>
      <w:r w:rsidR="00911E44">
        <w:t>See</w:t>
      </w:r>
      <w:r>
        <w:rPr>
          <w:rFonts w:cs="Calibri"/>
          <w:noProof/>
        </w:rPr>
        <w:t xml:space="preserve"> section 20A of the </w:t>
      </w:r>
      <w:r w:rsidRPr="000C5586">
        <w:rPr>
          <w:rFonts w:cs="Calibri"/>
          <w:i/>
          <w:noProof/>
        </w:rPr>
        <w:t>National Security Information (Criminal and Civil Proceedings) Act 2004</w:t>
      </w:r>
      <w:r>
        <w:rPr>
          <w:rFonts w:cs="Calibri"/>
          <w:noProof/>
        </w:rPr>
        <w:t xml:space="preserve"> (Cth) – “</w:t>
      </w:r>
      <w:r w:rsidRPr="000C5586">
        <w:rPr>
          <w:rFonts w:cs="Calibri"/>
          <w:noProof/>
        </w:rPr>
        <w:t>Attorney</w:t>
      </w:r>
      <w:r w:rsidRPr="000C5586">
        <w:rPr>
          <w:rFonts w:ascii="Cambria Math" w:hAnsi="Cambria Math" w:cs="Cambria Math"/>
          <w:noProof/>
        </w:rPr>
        <w:t>‑</w:t>
      </w:r>
      <w:r w:rsidRPr="000C5586">
        <w:rPr>
          <w:rFonts w:cs="Calibri"/>
          <w:noProof/>
        </w:rPr>
        <w:t>General etc. may attend and be heard at federal criminal proceedings</w:t>
      </w:r>
      <w:r>
        <w:rPr>
          <w:rFonts w:cs="Calibri"/>
          <w:noProof/>
        </w:rPr>
        <w:t>”.</w:t>
      </w:r>
    </w:p>
  </w:footnote>
  <w:footnote w:id="20">
    <w:p w14:paraId="4FC5EDCB" w14:textId="77777777" w:rsidR="008B06B0" w:rsidRDefault="008B06B0" w:rsidP="002A4A54">
      <w:pPr>
        <w:pStyle w:val="FootnoteText"/>
        <w:spacing w:before="0" w:after="0"/>
      </w:pPr>
      <w:r>
        <w:rPr>
          <w:rStyle w:val="FootnoteReference"/>
        </w:rPr>
        <w:footnoteRef/>
      </w:r>
      <w:r>
        <w:t xml:space="preserve"> Where confidential affidavits have been filed to which the CDPP is not privy, it is likely that a neutral stance will be appropriate.</w:t>
      </w:r>
    </w:p>
  </w:footnote>
  <w:footnote w:id="21">
    <w:p w14:paraId="77406FF7" w14:textId="2949AE15" w:rsidR="00C26657" w:rsidRDefault="00C26657" w:rsidP="00DA5EA8">
      <w:pPr>
        <w:pStyle w:val="FootnoteText"/>
        <w:spacing w:before="0" w:after="0"/>
      </w:pPr>
      <w:r>
        <w:rPr>
          <w:rStyle w:val="FootnoteReference"/>
        </w:rPr>
        <w:footnoteRef/>
      </w:r>
      <w:r>
        <w:t xml:space="preserve"> Prosecutors </w:t>
      </w:r>
      <w:r w:rsidR="003E7D02">
        <w:t>can enter suppression orders under the option ‘Add file action</w:t>
      </w:r>
      <w:r w:rsidR="0059438A">
        <w:t xml:space="preserve"> </w:t>
      </w:r>
      <w:r w:rsidR="0059438A" w:rsidRPr="0059438A">
        <w:t>– event performed Suppression Order</w:t>
      </w:r>
      <w:r w:rsidR="0059438A">
        <w:t>’.</w:t>
      </w:r>
    </w:p>
  </w:footnote>
  <w:footnote w:id="22">
    <w:p w14:paraId="02F0F792" w14:textId="77777777" w:rsidR="00AA799B" w:rsidRDefault="00AA799B" w:rsidP="00AA799B">
      <w:pPr>
        <w:pStyle w:val="FootnoteText"/>
        <w:spacing w:before="0" w:after="0"/>
      </w:pPr>
      <w:r>
        <w:rPr>
          <w:rStyle w:val="FootnoteReference"/>
        </w:rPr>
        <w:footnoteRef/>
      </w:r>
      <w:r>
        <w:t xml:space="preserve"> </w:t>
      </w:r>
      <w:r w:rsidR="00E20BD8">
        <w:rPr>
          <w:rFonts w:cs="Calibri"/>
          <w:noProof/>
        </w:rPr>
        <w:t xml:space="preserve">Section </w:t>
      </w:r>
      <w:r w:rsidR="00782824">
        <w:t xml:space="preserve">15 of the </w:t>
      </w:r>
      <w:r w:rsidR="00782824">
        <w:rPr>
          <w:i/>
        </w:rPr>
        <w:t>Court</w:t>
      </w:r>
      <w:r w:rsidR="00782824" w:rsidRPr="004F3D38">
        <w:rPr>
          <w:i/>
        </w:rPr>
        <w:t xml:space="preserve"> Suppression and Non-Publication Orders Act 2010</w:t>
      </w:r>
      <w:r w:rsidR="00782824">
        <w:t xml:space="preserve"> (NSW).</w:t>
      </w:r>
    </w:p>
  </w:footnote>
  <w:footnote w:id="23">
    <w:p w14:paraId="71564279" w14:textId="77777777" w:rsidR="00AA799B" w:rsidRDefault="00AA799B" w:rsidP="00AA799B">
      <w:pPr>
        <w:pStyle w:val="FootnoteText"/>
        <w:spacing w:before="0" w:after="0"/>
      </w:pPr>
      <w:r>
        <w:rPr>
          <w:rStyle w:val="FootnoteReference"/>
        </w:rPr>
        <w:footnoteRef/>
      </w:r>
      <w:r>
        <w:t xml:space="preserve"> </w:t>
      </w:r>
      <w:r w:rsidR="00E20BD8">
        <w:rPr>
          <w:rFonts w:cs="Calibri"/>
          <w:noProof/>
        </w:rPr>
        <w:t xml:space="preserve">Section </w:t>
      </w:r>
      <w:r w:rsidR="00782824" w:rsidRPr="0001687F">
        <w:t>22</w:t>
      </w:r>
      <w:r w:rsidR="00782824">
        <w:t xml:space="preserve"> of the </w:t>
      </w:r>
      <w:r w:rsidR="00782824" w:rsidRPr="004F3D38">
        <w:rPr>
          <w:i/>
        </w:rPr>
        <w:t xml:space="preserve">Open </w:t>
      </w:r>
      <w:r w:rsidR="00782824">
        <w:rPr>
          <w:i/>
        </w:rPr>
        <w:t>Courts</w:t>
      </w:r>
      <w:r w:rsidR="00782824" w:rsidRPr="004F3D38">
        <w:rPr>
          <w:i/>
        </w:rPr>
        <w:t xml:space="preserve"> Act 2013</w:t>
      </w:r>
      <w:r w:rsidR="00782824" w:rsidRPr="007C5773">
        <w:t xml:space="preserve"> </w:t>
      </w:r>
      <w:r w:rsidR="00782824">
        <w:t>(Vic).</w:t>
      </w:r>
    </w:p>
  </w:footnote>
  <w:footnote w:id="24">
    <w:p w14:paraId="15412322" w14:textId="77777777" w:rsidR="00AA799B" w:rsidRDefault="00AA799B" w:rsidP="00E20BD8">
      <w:pPr>
        <w:pStyle w:val="FootnoteText"/>
        <w:spacing w:before="0" w:after="0" w:line="240" w:lineRule="auto"/>
      </w:pPr>
      <w:r>
        <w:rPr>
          <w:rStyle w:val="FootnoteReference"/>
        </w:rPr>
        <w:footnoteRef/>
      </w:r>
      <w:r>
        <w:t xml:space="preserve"> Section 8(c), (d) and (e) </w:t>
      </w:r>
      <w:r w:rsidRPr="00783202">
        <w:rPr>
          <w:rFonts w:cs="Calibri"/>
          <w:i/>
          <w:iCs/>
        </w:rPr>
        <w:t>Criminal Law (Sexual Offences) Act 1978</w:t>
      </w:r>
      <w:r>
        <w:rPr>
          <w:rFonts w:cs="Calibri"/>
          <w:i/>
          <w:iCs/>
        </w:rPr>
        <w:t xml:space="preserve"> </w:t>
      </w:r>
      <w:r w:rsidR="00782824" w:rsidRPr="00782824">
        <w:rPr>
          <w:rFonts w:cs="Calibri"/>
        </w:rPr>
        <w:t>(Qld)</w:t>
      </w:r>
      <w:r w:rsidR="00782824">
        <w:rPr>
          <w:rFonts w:cs="Calibri"/>
          <w:i/>
          <w:iCs/>
        </w:rPr>
        <w:t xml:space="preserve"> </w:t>
      </w:r>
      <w:r>
        <w:t xml:space="preserve">excludes </w:t>
      </w:r>
      <w:r w:rsidR="00782824">
        <w:t xml:space="preserve">from the operation of </w:t>
      </w:r>
      <w:r w:rsidR="009F026D">
        <w:t xml:space="preserve">(automatic) </w:t>
      </w:r>
      <w:r w:rsidR="00782824">
        <w:t xml:space="preserve">suppression orders, </w:t>
      </w:r>
      <w:r>
        <w:t xml:space="preserve">reports made to or on behalf of various government agencies, which arguably includes the CDPP and CPO. </w:t>
      </w:r>
      <w:r w:rsidR="009F026D">
        <w:t xml:space="preserve">Other </w:t>
      </w:r>
      <w:r w:rsidR="00DB6702">
        <w:t xml:space="preserve">Qld </w:t>
      </w:r>
      <w:r w:rsidR="009F026D">
        <w:t>suppression order legislation is silent on the issue</w:t>
      </w:r>
      <w:r w:rsidR="00DB6702">
        <w:t>,</w:t>
      </w:r>
      <w:r w:rsidR="009F026D">
        <w:t xml:space="preserve"> </w:t>
      </w:r>
      <w:r w:rsidR="009F026D">
        <w:t>however refer to the section below, ‘</w:t>
      </w:r>
      <w:r w:rsidR="009F026D" w:rsidRPr="009F026D">
        <w:t>Guidance for Queensland</w:t>
      </w:r>
      <w:r w:rsidR="009F026D">
        <w:t>’.</w:t>
      </w:r>
    </w:p>
  </w:footnote>
  <w:footnote w:id="25">
    <w:p w14:paraId="7EED8D9D" w14:textId="77777777" w:rsidR="00E20BD8" w:rsidRDefault="00E20BD8" w:rsidP="00E20BD8">
      <w:pPr>
        <w:pStyle w:val="FootnoteText"/>
        <w:spacing w:before="0" w:after="0" w:line="240" w:lineRule="auto"/>
      </w:pPr>
      <w:r>
        <w:rPr>
          <w:rStyle w:val="FootnoteReference"/>
        </w:rPr>
        <w:footnoteRef/>
      </w:r>
      <w:r>
        <w:t xml:space="preserve"> Consistent with the approach taken by the A.C.T DPP. </w:t>
      </w:r>
    </w:p>
  </w:footnote>
  <w:footnote w:id="26">
    <w:p w14:paraId="7A5EBE10" w14:textId="77777777" w:rsidR="00E20BD8" w:rsidRDefault="00E20BD8" w:rsidP="00E20BD8">
      <w:pPr>
        <w:pStyle w:val="FootnoteText"/>
        <w:spacing w:before="0" w:after="0" w:line="240" w:lineRule="auto"/>
      </w:pPr>
      <w:r>
        <w:rPr>
          <w:rStyle w:val="FootnoteReference"/>
        </w:rPr>
        <w:footnoteRef/>
      </w:r>
      <w:r>
        <w:t xml:space="preserve"> Consistent with the approach taken by the NT DPP.</w:t>
      </w:r>
    </w:p>
  </w:footnote>
  <w:footnote w:id="27">
    <w:p w14:paraId="1FAE59BC" w14:textId="77777777" w:rsidR="00E20BD8" w:rsidRDefault="00E20BD8" w:rsidP="00E20BD8">
      <w:pPr>
        <w:pStyle w:val="FootnoteText"/>
        <w:spacing w:before="0" w:after="0" w:line="240" w:lineRule="auto"/>
      </w:pPr>
      <w:r>
        <w:rPr>
          <w:rStyle w:val="FootnoteReference"/>
        </w:rPr>
        <w:footnoteRef/>
      </w:r>
      <w:r>
        <w:t xml:space="preserve"> </w:t>
      </w:r>
      <w:r>
        <w:rPr>
          <w:rFonts w:cs="Calibri"/>
          <w:noProof/>
        </w:rPr>
        <w:t xml:space="preserve">Note that suppression orders are rare in South Australian CDPP matters, and sealing of sentencing remarks is more common, with sealing being an inherent/implied power of the court. The Adelaide office practice is that the CDPP will only provide the CPO with unsealed (publicly-available) sentencing remarks. If sealed remarks are required by the CPO, the CDPP will seek the permission of the court before providing sealed remarks. </w:t>
      </w:r>
    </w:p>
  </w:footnote>
  <w:footnote w:id="28">
    <w:p w14:paraId="7EB546C0" w14:textId="77777777" w:rsidR="00E20BD8" w:rsidRDefault="00E20BD8" w:rsidP="00E20BD8">
      <w:pPr>
        <w:pStyle w:val="FootnoteText"/>
        <w:spacing w:before="0" w:after="0" w:line="240" w:lineRule="auto"/>
      </w:pPr>
      <w:r>
        <w:rPr>
          <w:rStyle w:val="FootnoteReference"/>
        </w:rPr>
        <w:footnoteRef/>
      </w:r>
      <w:r>
        <w:t xml:space="preserve"> Consistent with the approach taken by the Tasmanian DPP. </w:t>
      </w:r>
    </w:p>
  </w:footnote>
  <w:footnote w:id="29">
    <w:p w14:paraId="0B684291" w14:textId="77777777" w:rsidR="00AA799B" w:rsidRDefault="00AA799B" w:rsidP="00E20BD8">
      <w:pPr>
        <w:pStyle w:val="FootnoteText"/>
        <w:spacing w:before="0" w:after="0" w:line="240" w:lineRule="auto"/>
      </w:pPr>
      <w:r>
        <w:rPr>
          <w:rStyle w:val="FootnoteReference"/>
        </w:rPr>
        <w:footnoteRef/>
      </w:r>
      <w:r>
        <w:t xml:space="preserve"> </w:t>
      </w:r>
      <w:r w:rsidR="00E20BD8" w:rsidRPr="00E20BD8">
        <w:t>The issue should be specifically raised by the Crown and an exception made as part of the order</w:t>
      </w:r>
      <w:r w:rsidR="00E20BD8">
        <w:t xml:space="preserve">. </w:t>
      </w:r>
      <w:r>
        <w:t>This is Perth office practice</w:t>
      </w:r>
      <w:r w:rsidR="00633922">
        <w:t xml:space="preserve">, </w:t>
      </w:r>
      <w:r w:rsidR="00633922" w:rsidRPr="00633922">
        <w:t>so as to avoid any doubt that publication to government agencies is permitted</w:t>
      </w:r>
      <w:r w:rsidR="00633922">
        <w:t>.</w:t>
      </w:r>
    </w:p>
  </w:footnote>
  <w:footnote w:id="30">
    <w:p w14:paraId="35DD5007" w14:textId="77777777" w:rsidR="00A86738" w:rsidRDefault="00A86738" w:rsidP="00A86738">
      <w:pPr>
        <w:pStyle w:val="FootnoteText"/>
        <w:spacing w:before="0" w:after="0" w:line="240" w:lineRule="auto"/>
      </w:pPr>
      <w:r>
        <w:rPr>
          <w:rStyle w:val="FootnoteReference"/>
        </w:rPr>
        <w:footnoteRef/>
      </w:r>
      <w:r>
        <w:t xml:space="preserve"> Note that many of the State and Territory Acts providing for suppression orders do not define the terms ‘publish’ or ‘publication’. Therefore, the common dictionary definition of ‘publish’ can be utilised pursuant to the rules of statutory interpretation. Refer also to </w:t>
      </w:r>
      <w:r w:rsidRPr="00293EDC">
        <w:rPr>
          <w:i/>
        </w:rPr>
        <w:t xml:space="preserve">KF v Parramatta Children's Court &amp; 3 </w:t>
      </w:r>
      <w:r w:rsidRPr="00293EDC">
        <w:rPr>
          <w:i/>
        </w:rPr>
        <w:t>Ors</w:t>
      </w:r>
      <w:r w:rsidRPr="00293EDC">
        <w:t xml:space="preserve"> [2008] NSWSC 1131</w:t>
      </w:r>
      <w:r>
        <w:t xml:space="preserve">, where the NSW Supreme Court held that the private communication of information between a party to the proceedings and a non-party to proceedings, for legitimate purposes that were related to the proceedings, did not breach a Children’s Court suppression order, and was not ‘publication’ as envisaged by the NSW suppression order legislation. See also </w:t>
      </w:r>
      <w:r w:rsidRPr="00D6461E">
        <w:rPr>
          <w:i/>
          <w:iCs/>
        </w:rPr>
        <w:t>Roget v Flavel</w:t>
      </w:r>
      <w:r>
        <w:t xml:space="preserve"> (1987) 47 SASR 402 at [406]– publication ‘does </w:t>
      </w:r>
      <w:r w:rsidRPr="00D6461E">
        <w:rPr>
          <w:u w:val="single"/>
        </w:rPr>
        <w:t>not</w:t>
      </w:r>
      <w:r>
        <w:t xml:space="preserve"> refer to a substantially private communication, from one person to another, whether by way of preparation for an impending trial, or as information to someone with an obvious commercial or personal or other interest in the matter’. </w:t>
      </w:r>
    </w:p>
  </w:footnote>
  <w:footnote w:id="31">
    <w:p w14:paraId="6F0F8E2F" w14:textId="2CF21604" w:rsidR="00B86866" w:rsidRDefault="0068018B" w:rsidP="00B86866">
      <w:pPr>
        <w:pStyle w:val="FootnoteText"/>
        <w:spacing w:before="0" w:after="0"/>
      </w:pPr>
      <w:r>
        <w:rPr>
          <w:rStyle w:val="FootnoteReference"/>
        </w:rPr>
        <w:footnoteRef/>
      </w:r>
      <w:r>
        <w:t xml:space="preserve"> Note that </w:t>
      </w:r>
      <w:r w:rsidR="00B86866">
        <w:t>this</w:t>
      </w:r>
      <w:r>
        <w:t xml:space="preserve"> wording </w:t>
      </w:r>
      <w:r w:rsidR="00B86866">
        <w:t xml:space="preserve">is modified from the exceptions for public officials in </w:t>
      </w:r>
      <w:r w:rsidR="00B86866">
        <w:rPr>
          <w:rFonts w:cs="Calibri"/>
          <w:noProof/>
        </w:rPr>
        <w:t xml:space="preserve">section </w:t>
      </w:r>
      <w:r w:rsidR="00B86866">
        <w:t xml:space="preserve">15 of the </w:t>
      </w:r>
      <w:r w:rsidR="00B86866">
        <w:rPr>
          <w:i/>
        </w:rPr>
        <w:t>Court</w:t>
      </w:r>
      <w:r w:rsidR="00B86866" w:rsidRPr="004F3D38">
        <w:rPr>
          <w:i/>
        </w:rPr>
        <w:t xml:space="preserve"> Suppression and Non-Publication Orders Act 2010</w:t>
      </w:r>
      <w:r w:rsidR="00B86866">
        <w:t xml:space="preserve"> (NSW) and </w:t>
      </w:r>
      <w:r w:rsidR="00B86866">
        <w:rPr>
          <w:rFonts w:cs="Calibri"/>
          <w:noProof/>
        </w:rPr>
        <w:t xml:space="preserve">section </w:t>
      </w:r>
      <w:r w:rsidR="00B86866" w:rsidRPr="0001687F">
        <w:t>22</w:t>
      </w:r>
      <w:r w:rsidR="00B86866">
        <w:t xml:space="preserve"> of the </w:t>
      </w:r>
      <w:r w:rsidR="00B86866" w:rsidRPr="004F3D38">
        <w:rPr>
          <w:i/>
        </w:rPr>
        <w:t xml:space="preserve">Open </w:t>
      </w:r>
      <w:r w:rsidR="00B86866">
        <w:rPr>
          <w:i/>
        </w:rPr>
        <w:t>Courts</w:t>
      </w:r>
      <w:r w:rsidR="00B86866" w:rsidRPr="004F3D38">
        <w:rPr>
          <w:i/>
        </w:rPr>
        <w:t xml:space="preserve"> Act 2013</w:t>
      </w:r>
      <w:r w:rsidR="00B86866" w:rsidRPr="007C5773">
        <w:t xml:space="preserve"> </w:t>
      </w:r>
      <w:r w:rsidR="00B86866">
        <w:t>(Vic).</w:t>
      </w:r>
    </w:p>
    <w:p w14:paraId="6F24B363" w14:textId="480D42F4" w:rsidR="0068018B" w:rsidRDefault="0068018B" w:rsidP="008F0014">
      <w:pPr>
        <w:pStyle w:val="FootnoteText"/>
        <w:spacing w:before="0" w:after="0"/>
      </w:pPr>
    </w:p>
  </w:footnote>
  <w:footnote w:id="32">
    <w:p w14:paraId="02D018CA" w14:textId="69C369E4" w:rsidR="006F2BCD" w:rsidRDefault="006F2BCD" w:rsidP="006F2BCD">
      <w:pPr>
        <w:pStyle w:val="FootnoteText"/>
        <w:spacing w:before="0" w:after="0" w:line="240" w:lineRule="auto"/>
      </w:pPr>
      <w:r>
        <w:rPr>
          <w:rStyle w:val="FootnoteReference"/>
        </w:rPr>
        <w:footnoteRef/>
      </w:r>
      <w:r>
        <w:t xml:space="preserve"> For example, s</w:t>
      </w:r>
      <w:r w:rsidRPr="00003699">
        <w:t xml:space="preserve">37AK </w:t>
      </w:r>
      <w:r>
        <w:t>of the</w:t>
      </w:r>
      <w:r w:rsidRPr="00003699">
        <w:t xml:space="preserve"> </w:t>
      </w:r>
      <w:r w:rsidRPr="00892D38">
        <w:rPr>
          <w:i/>
        </w:rPr>
        <w:t xml:space="preserve">Federal </w:t>
      </w:r>
      <w:r>
        <w:rPr>
          <w:i/>
        </w:rPr>
        <w:t>Court</w:t>
      </w:r>
      <w:r w:rsidRPr="00892D38">
        <w:rPr>
          <w:i/>
        </w:rPr>
        <w:t xml:space="preserve"> Act 1976</w:t>
      </w:r>
      <w:r>
        <w:t xml:space="preserve"> (</w:t>
      </w:r>
      <w:r>
        <w:t>Cth) provides “</w:t>
      </w:r>
      <w:r w:rsidRPr="00003699">
        <w:t>Exception for court officials</w:t>
      </w:r>
      <w:r>
        <w:t xml:space="preserve">”. </w:t>
      </w:r>
      <w:r w:rsidR="00FC3A60">
        <w:t xml:space="preserve">Section 77RJ of the </w:t>
      </w:r>
      <w:r w:rsidR="00FC3A60" w:rsidRPr="00FC3A60">
        <w:rPr>
          <w:i/>
          <w:iCs/>
        </w:rPr>
        <w:t>Judiciary Act</w:t>
      </w:r>
      <w:r w:rsidR="00FC3A60">
        <w:t xml:space="preserve"> </w:t>
      </w:r>
      <w:r w:rsidR="00FC3A60" w:rsidRPr="00FC3A60">
        <w:rPr>
          <w:i/>
          <w:iCs/>
        </w:rPr>
        <w:t>1903</w:t>
      </w:r>
      <w:r w:rsidR="00FC3A60">
        <w:t xml:space="preserve"> (Cth) applies to High Court proceedings </w:t>
      </w:r>
      <w:r w:rsidR="00FC3A60">
        <w:t>and also provides “</w:t>
      </w:r>
      <w:r w:rsidR="00FC3A60" w:rsidRPr="00FC3A60">
        <w:t>Exception for court officials</w:t>
      </w:r>
      <w:r w:rsidR="00FC3A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C27D" w14:textId="1847E8A0" w:rsidR="00155DE2" w:rsidRPr="00804DE0" w:rsidRDefault="00DE363F" w:rsidP="008F0014">
    <w:pPr>
      <w:pStyle w:val="Header"/>
      <w:tabs>
        <w:tab w:val="clear" w:pos="9026"/>
        <w:tab w:val="right" w:pos="9639"/>
      </w:tabs>
      <w:jc w:val="center"/>
    </w:pPr>
    <w:r>
      <w:t xml:space="preserve">                                                                                                                                      </w:t>
    </w:r>
    <w:r w:rsidR="00155DE2">
      <w:t>National Legal Direction</w:t>
    </w:r>
  </w:p>
  <w:p w14:paraId="7AEC3A68" w14:textId="48F77829" w:rsidR="00155DE2" w:rsidRDefault="00155DE2" w:rsidP="00155DE2">
    <w:pPr>
      <w:pStyle w:val="Header"/>
      <w:pBdr>
        <w:bottom w:val="single" w:sz="4" w:space="1" w:color="BCCF00"/>
      </w:pBdr>
      <w:tabs>
        <w:tab w:val="clear" w:pos="9026"/>
        <w:tab w:val="right" w:pos="9639"/>
      </w:tabs>
      <w:rPr>
        <w:b/>
      </w:rPr>
    </w:pPr>
    <w:r w:rsidRPr="00A61D41">
      <w:rPr>
        <w:b/>
      </w:rPr>
      <w:t xml:space="preserve">Last </w:t>
    </w:r>
    <w:r>
      <w:rPr>
        <w:b/>
      </w:rPr>
      <w:t>u</w:t>
    </w:r>
    <w:r w:rsidRPr="00A61D41">
      <w:rPr>
        <w:b/>
      </w:rPr>
      <w:t xml:space="preserve">pdate: </w:t>
    </w:r>
    <w:r w:rsidR="000978EF">
      <w:rPr>
        <w:b/>
      </w:rPr>
      <w:t>March</w:t>
    </w:r>
    <w:r w:rsidR="00DE363F">
      <w:rPr>
        <w:b/>
      </w:rPr>
      <w:t xml:space="preserve"> </w:t>
    </w:r>
    <w:r>
      <w:rPr>
        <w:b/>
      </w:rPr>
      <w:t>202</w:t>
    </w:r>
    <w:r w:rsidR="00582B30">
      <w:rPr>
        <w:b/>
      </w:rPr>
      <w:t>1</w:t>
    </w:r>
    <w:r>
      <w:rPr>
        <w:b/>
      </w:rPr>
      <w:t xml:space="preserve">             </w:t>
    </w:r>
    <w:r w:rsidR="00DE363F">
      <w:rPr>
        <w:b/>
      </w:rPr>
      <w:tab/>
    </w:r>
    <w:r>
      <w:rPr>
        <w:b/>
      </w:rPr>
      <w:t xml:space="preserve">   </w:t>
    </w:r>
    <w:r w:rsidRPr="00155DE2">
      <w:rPr>
        <w:b/>
      </w:rPr>
      <w:t>Suppression orders, Non-Publication Orders and Pseudonym Orders</w:t>
    </w:r>
  </w:p>
  <w:p w14:paraId="53899181" w14:textId="77777777" w:rsidR="00281C66" w:rsidRDefault="00281C66" w:rsidP="00281C66">
    <w:pPr>
      <w:pStyle w:val="Header"/>
      <w:pBdr>
        <w:bottom w:val="single" w:sz="4" w:space="1" w:color="BCCF00"/>
      </w:pBdr>
      <w:tabs>
        <w:tab w:val="clear" w:pos="9026"/>
        <w:tab w:val="right" w:pos="9639"/>
      </w:tabs>
      <w:rPr>
        <w:b/>
      </w:rPr>
    </w:pPr>
  </w:p>
  <w:p w14:paraId="5F9FE717" w14:textId="77777777" w:rsidR="00281C66" w:rsidRDefault="00281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F8BE" w14:textId="008B3461" w:rsidR="000B160E" w:rsidRDefault="002A4A54">
    <w:pPr>
      <w:pStyle w:val="Header"/>
    </w:pPr>
    <w:r>
      <w:rPr>
        <w:noProof/>
      </w:rPr>
      <w:drawing>
        <wp:anchor distT="0" distB="0" distL="114300" distR="114300" simplePos="0" relativeHeight="251657728" behindDoc="1" locked="0" layoutInCell="1" allowOverlap="1" wp14:anchorId="7C313BA1" wp14:editId="64C1F970">
          <wp:simplePos x="0" y="0"/>
          <wp:positionH relativeFrom="page">
            <wp:posOffset>201930</wp:posOffset>
          </wp:positionH>
          <wp:positionV relativeFrom="page">
            <wp:posOffset>182880</wp:posOffset>
          </wp:positionV>
          <wp:extent cx="7200265" cy="1057910"/>
          <wp:effectExtent l="0" t="0" r="0" b="0"/>
          <wp:wrapNone/>
          <wp:docPr id="1" name="Picture 3" descr="CD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B6D6DC76"/>
    <w:styleLink w:val="Numberedlist"/>
    <w:lvl w:ilvl="0">
      <w:start w:val="1"/>
      <w:numFmt w:val="decimal"/>
      <w:pStyle w:val="NumberedList1"/>
      <w:lvlText w:val="%1."/>
      <w:lvlJc w:val="left"/>
      <w:pPr>
        <w:ind w:left="284" w:hanging="284"/>
      </w:pPr>
      <w:rPr>
        <w:rFonts w:hint="default"/>
        <w:b/>
      </w:rPr>
    </w:lvl>
    <w:lvl w:ilvl="1">
      <w:start w:val="1"/>
      <w:numFmt w:val="decimal"/>
      <w:pStyle w:val="NumberedList2"/>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290DF8"/>
    <w:multiLevelType w:val="multilevel"/>
    <w:tmpl w:val="58262B4A"/>
    <w:numStyleLink w:val="AlphaLists"/>
  </w:abstractNum>
  <w:abstractNum w:abstractNumId="2" w15:restartNumberingAfterBreak="0">
    <w:nsid w:val="15674F26"/>
    <w:multiLevelType w:val="hybridMultilevel"/>
    <w:tmpl w:val="B058B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23D64"/>
    <w:multiLevelType w:val="hybridMultilevel"/>
    <w:tmpl w:val="B5B21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74506"/>
    <w:multiLevelType w:val="multilevel"/>
    <w:tmpl w:val="B6D6DC76"/>
    <w:numStyleLink w:val="Numberedlist"/>
  </w:abstractNum>
  <w:abstractNum w:abstractNumId="5" w15:restartNumberingAfterBreak="0">
    <w:nsid w:val="25171B7A"/>
    <w:multiLevelType w:val="multilevel"/>
    <w:tmpl w:val="58262B4A"/>
    <w:styleLink w:val="AlphaLists"/>
    <w:lvl w:ilvl="0">
      <w:start w:val="1"/>
      <w:numFmt w:val="upperLetter"/>
      <w:pStyle w:val="AlphaList1"/>
      <w:lvlText w:val="%1."/>
      <w:lvlJc w:val="left"/>
      <w:pPr>
        <w:ind w:left="5672" w:hanging="284"/>
      </w:pPr>
      <w:rPr>
        <w:rFonts w:hint="default"/>
        <w:b/>
      </w:rPr>
    </w:lvl>
    <w:lvl w:ilvl="1">
      <w:start w:val="1"/>
      <w:numFmt w:val="lowerLetter"/>
      <w:pStyle w:val="AlphaList2"/>
      <w:lvlText w:val="%2."/>
      <w:lvlJc w:val="left"/>
      <w:pPr>
        <w:ind w:left="851" w:hanging="284"/>
      </w:pPr>
      <w:rPr>
        <w:rFonts w:hint="default"/>
        <w:b/>
      </w:rPr>
    </w:lvl>
    <w:lvl w:ilvl="2">
      <w:start w:val="1"/>
      <w:numFmt w:val="lowerLetter"/>
      <w:pStyle w:val="AlphaList3"/>
      <w:lvlText w:val="(%3)"/>
      <w:lvlJc w:val="left"/>
      <w:pPr>
        <w:ind w:left="1418" w:hanging="28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04259F"/>
    <w:multiLevelType w:val="hybridMultilevel"/>
    <w:tmpl w:val="13A4F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6324DCD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2DF5A1E"/>
    <w:multiLevelType w:val="hybridMultilevel"/>
    <w:tmpl w:val="D692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54CF3"/>
    <w:multiLevelType w:val="hybridMultilevel"/>
    <w:tmpl w:val="8F764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226D3"/>
    <w:multiLevelType w:val="hybridMultilevel"/>
    <w:tmpl w:val="62FC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5718C"/>
    <w:multiLevelType w:val="hybridMultilevel"/>
    <w:tmpl w:val="63BE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C230FE"/>
    <w:multiLevelType w:val="hybridMultilevel"/>
    <w:tmpl w:val="5D42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1C0A78"/>
    <w:multiLevelType w:val="hybridMultilevel"/>
    <w:tmpl w:val="B7084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117F6"/>
    <w:multiLevelType w:val="hybridMultilevel"/>
    <w:tmpl w:val="992A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12C4C"/>
    <w:multiLevelType w:val="hybridMultilevel"/>
    <w:tmpl w:val="22B8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A1FF6"/>
    <w:multiLevelType w:val="hybridMultilevel"/>
    <w:tmpl w:val="2BA24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A34A0"/>
    <w:multiLevelType w:val="multilevel"/>
    <w:tmpl w:val="C3587BC8"/>
    <w:numStyleLink w:val="BulletsList"/>
  </w:abstractNum>
  <w:abstractNum w:abstractNumId="18" w15:restartNumberingAfterBreak="0">
    <w:nsid w:val="595D7E15"/>
    <w:multiLevelType w:val="multilevel"/>
    <w:tmpl w:val="9830E3CE"/>
    <w:styleLink w:val="TableHeadingNumbers"/>
    <w:lvl w:ilvl="0">
      <w:start w:val="1"/>
      <w:numFmt w:val="decimal"/>
      <w:pStyle w:val="TableHeadings"/>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165BBC"/>
    <w:multiLevelType w:val="hybridMultilevel"/>
    <w:tmpl w:val="13EA563E"/>
    <w:lvl w:ilvl="0" w:tplc="736675EA">
      <w:start w:val="1"/>
      <w:numFmt w:val="lowerRoman"/>
      <w:lvlText w:val="%1.)"/>
      <w:lvlJc w:val="left"/>
      <w:pPr>
        <w:ind w:left="2208" w:hanging="720"/>
      </w:pPr>
      <w:rPr>
        <w:rFonts w:hint="default"/>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20" w15:restartNumberingAfterBreak="0">
    <w:nsid w:val="5DEF649F"/>
    <w:multiLevelType w:val="multilevel"/>
    <w:tmpl w:val="938276F2"/>
    <w:styleLink w:val="FigureTitles"/>
    <w:lvl w:ilvl="0">
      <w:start w:val="1"/>
      <w:numFmt w:val="decimal"/>
      <w:pStyle w:val="FigureHeadings"/>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9367F4"/>
    <w:multiLevelType w:val="hybridMultilevel"/>
    <w:tmpl w:val="71DA3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C3587BC8"/>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851" w:hanging="284"/>
      </w:pPr>
      <w:rPr>
        <w:rFonts w:ascii="Symbol" w:hAnsi="Symbol" w:hint="default"/>
      </w:rPr>
    </w:lvl>
    <w:lvl w:ilvl="2">
      <w:start w:val="1"/>
      <w:numFmt w:val="bullet"/>
      <w:pStyle w:val="Bullet3"/>
      <w:lvlText w:val="–"/>
      <w:lvlJc w:val="left"/>
      <w:pPr>
        <w:ind w:left="1418"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6A74254"/>
    <w:multiLevelType w:val="hybridMultilevel"/>
    <w:tmpl w:val="A1D4CF36"/>
    <w:lvl w:ilvl="0" w:tplc="736675E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EF5DC5"/>
    <w:multiLevelType w:val="hybridMultilevel"/>
    <w:tmpl w:val="92CE7150"/>
    <w:lvl w:ilvl="0" w:tplc="A42CA2CA">
      <w:start w:val="1"/>
      <w:numFmt w:val="decimal"/>
      <w:pStyle w:val="NLDhead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0"/>
  </w:num>
  <w:num w:numId="3">
    <w:abstractNumId w:val="7"/>
  </w:num>
  <w:num w:numId="4">
    <w:abstractNumId w:val="18"/>
  </w:num>
  <w:num w:numId="5">
    <w:abstractNumId w:val="20"/>
  </w:num>
  <w:num w:numId="6">
    <w:abstractNumId w:val="4"/>
    <w:lvlOverride w:ilvl="0">
      <w:lvl w:ilvl="0">
        <w:start w:val="1"/>
        <w:numFmt w:val="decimal"/>
        <w:pStyle w:val="NumberedList1"/>
        <w:lvlText w:val="%1."/>
        <w:lvlJc w:val="left"/>
        <w:pPr>
          <w:ind w:left="-284" w:hanging="284"/>
        </w:pPr>
        <w:rPr>
          <w:rFonts w:hint="default"/>
          <w:b/>
        </w:rPr>
      </w:lvl>
    </w:lvlOverride>
  </w:num>
  <w:num w:numId="7">
    <w:abstractNumId w:val="5"/>
  </w:num>
  <w:num w:numId="8">
    <w:abstractNumId w:val="1"/>
  </w:num>
  <w:num w:numId="9">
    <w:abstractNumId w:val="17"/>
  </w:num>
  <w:num w:numId="10">
    <w:abstractNumId w:val="8"/>
  </w:num>
  <w:num w:numId="11">
    <w:abstractNumId w:val="16"/>
  </w:num>
  <w:num w:numId="12">
    <w:abstractNumId w:val="2"/>
  </w:num>
  <w:num w:numId="13">
    <w:abstractNumId w:val="11"/>
  </w:num>
  <w:num w:numId="14">
    <w:abstractNumId w:val="24"/>
  </w:num>
  <w:num w:numId="15">
    <w:abstractNumId w:val="13"/>
  </w:num>
  <w:num w:numId="16">
    <w:abstractNumId w:val="21"/>
  </w:num>
  <w:num w:numId="17">
    <w:abstractNumId w:val="15"/>
  </w:num>
  <w:num w:numId="18">
    <w:abstractNumId w:val="9"/>
  </w:num>
  <w:num w:numId="19">
    <w:abstractNumId w:val="6"/>
  </w:num>
  <w:num w:numId="20">
    <w:abstractNumId w:val="3"/>
  </w:num>
  <w:num w:numId="21">
    <w:abstractNumId w:val="19"/>
  </w:num>
  <w:num w:numId="22">
    <w:abstractNumId w:val="10"/>
  </w:num>
  <w:num w:numId="23">
    <w:abstractNumId w:val="23"/>
  </w:num>
  <w:num w:numId="24">
    <w:abstractNumId w:val="12"/>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FFB"/>
    <w:rsid w:val="00003699"/>
    <w:rsid w:val="00003C0B"/>
    <w:rsid w:val="00012A8C"/>
    <w:rsid w:val="0001687F"/>
    <w:rsid w:val="0002256F"/>
    <w:rsid w:val="0002782F"/>
    <w:rsid w:val="00027EE2"/>
    <w:rsid w:val="000413D5"/>
    <w:rsid w:val="00043609"/>
    <w:rsid w:val="0004633B"/>
    <w:rsid w:val="00052075"/>
    <w:rsid w:val="00060073"/>
    <w:rsid w:val="00070183"/>
    <w:rsid w:val="00075FA8"/>
    <w:rsid w:val="00083A44"/>
    <w:rsid w:val="00087996"/>
    <w:rsid w:val="000978EF"/>
    <w:rsid w:val="000A1131"/>
    <w:rsid w:val="000A756F"/>
    <w:rsid w:val="000B160E"/>
    <w:rsid w:val="000B4A60"/>
    <w:rsid w:val="000C152E"/>
    <w:rsid w:val="000C5586"/>
    <w:rsid w:val="000D1254"/>
    <w:rsid w:val="000D7474"/>
    <w:rsid w:val="000E1464"/>
    <w:rsid w:val="000E2BE6"/>
    <w:rsid w:val="00116105"/>
    <w:rsid w:val="00130DE9"/>
    <w:rsid w:val="0013371A"/>
    <w:rsid w:val="00133A8D"/>
    <w:rsid w:val="00136DFE"/>
    <w:rsid w:val="00137587"/>
    <w:rsid w:val="00146231"/>
    <w:rsid w:val="0015152F"/>
    <w:rsid w:val="001541EA"/>
    <w:rsid w:val="00155D13"/>
    <w:rsid w:val="00155DE2"/>
    <w:rsid w:val="0016551D"/>
    <w:rsid w:val="00171CAD"/>
    <w:rsid w:val="00181C3C"/>
    <w:rsid w:val="00186648"/>
    <w:rsid w:val="00196E2E"/>
    <w:rsid w:val="001A05EA"/>
    <w:rsid w:val="001A5294"/>
    <w:rsid w:val="001B1847"/>
    <w:rsid w:val="001B1E4F"/>
    <w:rsid w:val="001B29ED"/>
    <w:rsid w:val="001C18D3"/>
    <w:rsid w:val="001D25EE"/>
    <w:rsid w:val="001E1557"/>
    <w:rsid w:val="001E1DC0"/>
    <w:rsid w:val="001F014D"/>
    <w:rsid w:val="001F6E1B"/>
    <w:rsid w:val="00205EB3"/>
    <w:rsid w:val="00212DFF"/>
    <w:rsid w:val="00222783"/>
    <w:rsid w:val="00237772"/>
    <w:rsid w:val="0024418F"/>
    <w:rsid w:val="0024644D"/>
    <w:rsid w:val="00250201"/>
    <w:rsid w:val="00251F0B"/>
    <w:rsid w:val="002525C4"/>
    <w:rsid w:val="002602F4"/>
    <w:rsid w:val="002746C1"/>
    <w:rsid w:val="00276C03"/>
    <w:rsid w:val="00281C66"/>
    <w:rsid w:val="002838AA"/>
    <w:rsid w:val="0028602A"/>
    <w:rsid w:val="002864D2"/>
    <w:rsid w:val="0028698E"/>
    <w:rsid w:val="00292D17"/>
    <w:rsid w:val="002A216C"/>
    <w:rsid w:val="002A3035"/>
    <w:rsid w:val="002A4A54"/>
    <w:rsid w:val="002A64DF"/>
    <w:rsid w:val="002B2DFC"/>
    <w:rsid w:val="002D32CA"/>
    <w:rsid w:val="002D5A53"/>
    <w:rsid w:val="002E0E06"/>
    <w:rsid w:val="002F3529"/>
    <w:rsid w:val="002F3645"/>
    <w:rsid w:val="003148B7"/>
    <w:rsid w:val="00314952"/>
    <w:rsid w:val="003158C3"/>
    <w:rsid w:val="00316A84"/>
    <w:rsid w:val="003214E1"/>
    <w:rsid w:val="00325BC6"/>
    <w:rsid w:val="003274CD"/>
    <w:rsid w:val="00335D72"/>
    <w:rsid w:val="00344428"/>
    <w:rsid w:val="0035119D"/>
    <w:rsid w:val="00351DD0"/>
    <w:rsid w:val="00365EB3"/>
    <w:rsid w:val="00367B91"/>
    <w:rsid w:val="0037371C"/>
    <w:rsid w:val="00373CFA"/>
    <w:rsid w:val="00374708"/>
    <w:rsid w:val="00386ADE"/>
    <w:rsid w:val="00386FAF"/>
    <w:rsid w:val="00390628"/>
    <w:rsid w:val="003926CA"/>
    <w:rsid w:val="00395B94"/>
    <w:rsid w:val="003A262C"/>
    <w:rsid w:val="003A2669"/>
    <w:rsid w:val="003A4D78"/>
    <w:rsid w:val="003A70E5"/>
    <w:rsid w:val="003B4F12"/>
    <w:rsid w:val="003B646B"/>
    <w:rsid w:val="003C5760"/>
    <w:rsid w:val="003D076C"/>
    <w:rsid w:val="003D2614"/>
    <w:rsid w:val="003D3DCF"/>
    <w:rsid w:val="003D5E49"/>
    <w:rsid w:val="003D66BA"/>
    <w:rsid w:val="003E25C8"/>
    <w:rsid w:val="003E7D02"/>
    <w:rsid w:val="00400358"/>
    <w:rsid w:val="00401F05"/>
    <w:rsid w:val="00416491"/>
    <w:rsid w:val="00423190"/>
    <w:rsid w:val="00423F31"/>
    <w:rsid w:val="00426F7C"/>
    <w:rsid w:val="004274BB"/>
    <w:rsid w:val="004345FB"/>
    <w:rsid w:val="00441E15"/>
    <w:rsid w:val="004432CF"/>
    <w:rsid w:val="004523A6"/>
    <w:rsid w:val="004546EE"/>
    <w:rsid w:val="004631C2"/>
    <w:rsid w:val="004633CF"/>
    <w:rsid w:val="00467EB2"/>
    <w:rsid w:val="00474DEC"/>
    <w:rsid w:val="00481609"/>
    <w:rsid w:val="00481E42"/>
    <w:rsid w:val="00483FD7"/>
    <w:rsid w:val="004920AD"/>
    <w:rsid w:val="004B3775"/>
    <w:rsid w:val="004B433C"/>
    <w:rsid w:val="004C1115"/>
    <w:rsid w:val="004C610A"/>
    <w:rsid w:val="004E058F"/>
    <w:rsid w:val="004E3B87"/>
    <w:rsid w:val="004F0C2E"/>
    <w:rsid w:val="004F3D38"/>
    <w:rsid w:val="00500CBE"/>
    <w:rsid w:val="00501DED"/>
    <w:rsid w:val="0050282B"/>
    <w:rsid w:val="005047CE"/>
    <w:rsid w:val="00510921"/>
    <w:rsid w:val="00513348"/>
    <w:rsid w:val="00521383"/>
    <w:rsid w:val="00523F80"/>
    <w:rsid w:val="00533B5D"/>
    <w:rsid w:val="00535151"/>
    <w:rsid w:val="005412A0"/>
    <w:rsid w:val="0055050D"/>
    <w:rsid w:val="00551F0C"/>
    <w:rsid w:val="00567529"/>
    <w:rsid w:val="00571419"/>
    <w:rsid w:val="00575776"/>
    <w:rsid w:val="00582B30"/>
    <w:rsid w:val="00590360"/>
    <w:rsid w:val="0059438A"/>
    <w:rsid w:val="00596922"/>
    <w:rsid w:val="005C4882"/>
    <w:rsid w:val="005C67E7"/>
    <w:rsid w:val="005D0115"/>
    <w:rsid w:val="005D44B4"/>
    <w:rsid w:val="005E79E4"/>
    <w:rsid w:val="005F07DF"/>
    <w:rsid w:val="005F3341"/>
    <w:rsid w:val="005F760D"/>
    <w:rsid w:val="0060035D"/>
    <w:rsid w:val="006124C9"/>
    <w:rsid w:val="006178D7"/>
    <w:rsid w:val="00621DD6"/>
    <w:rsid w:val="006223DE"/>
    <w:rsid w:val="00623BA1"/>
    <w:rsid w:val="00625346"/>
    <w:rsid w:val="006255C5"/>
    <w:rsid w:val="00633922"/>
    <w:rsid w:val="006346BC"/>
    <w:rsid w:val="00640611"/>
    <w:rsid w:val="00644E1B"/>
    <w:rsid w:val="00651157"/>
    <w:rsid w:val="0065737E"/>
    <w:rsid w:val="006579E5"/>
    <w:rsid w:val="00663CCA"/>
    <w:rsid w:val="0066652A"/>
    <w:rsid w:val="00675694"/>
    <w:rsid w:val="00675876"/>
    <w:rsid w:val="0067731C"/>
    <w:rsid w:val="0068018B"/>
    <w:rsid w:val="00682167"/>
    <w:rsid w:val="0068552B"/>
    <w:rsid w:val="00687F05"/>
    <w:rsid w:val="006930A8"/>
    <w:rsid w:val="006A5F70"/>
    <w:rsid w:val="006B766B"/>
    <w:rsid w:val="006C278B"/>
    <w:rsid w:val="006C42AF"/>
    <w:rsid w:val="006D415F"/>
    <w:rsid w:val="006E15DB"/>
    <w:rsid w:val="006F2BCD"/>
    <w:rsid w:val="0070490C"/>
    <w:rsid w:val="00711D8E"/>
    <w:rsid w:val="00711DA9"/>
    <w:rsid w:val="00712672"/>
    <w:rsid w:val="00715019"/>
    <w:rsid w:val="00716FAB"/>
    <w:rsid w:val="00720F27"/>
    <w:rsid w:val="0072192E"/>
    <w:rsid w:val="00722808"/>
    <w:rsid w:val="00722942"/>
    <w:rsid w:val="00724849"/>
    <w:rsid w:val="00734E3F"/>
    <w:rsid w:val="00736985"/>
    <w:rsid w:val="00741914"/>
    <w:rsid w:val="007479FF"/>
    <w:rsid w:val="007541F2"/>
    <w:rsid w:val="00756264"/>
    <w:rsid w:val="00756BBC"/>
    <w:rsid w:val="00757985"/>
    <w:rsid w:val="00757E02"/>
    <w:rsid w:val="00763673"/>
    <w:rsid w:val="0077139C"/>
    <w:rsid w:val="00782824"/>
    <w:rsid w:val="00783C49"/>
    <w:rsid w:val="007A31FD"/>
    <w:rsid w:val="007A3F78"/>
    <w:rsid w:val="007B6200"/>
    <w:rsid w:val="007C3280"/>
    <w:rsid w:val="007C5773"/>
    <w:rsid w:val="007D1515"/>
    <w:rsid w:val="007D21BF"/>
    <w:rsid w:val="007D26A8"/>
    <w:rsid w:val="007D3390"/>
    <w:rsid w:val="007E3650"/>
    <w:rsid w:val="007E5D4F"/>
    <w:rsid w:val="007F0891"/>
    <w:rsid w:val="007F3467"/>
    <w:rsid w:val="007F4FE6"/>
    <w:rsid w:val="00801B9F"/>
    <w:rsid w:val="0082076D"/>
    <w:rsid w:val="00827458"/>
    <w:rsid w:val="008329F0"/>
    <w:rsid w:val="00840407"/>
    <w:rsid w:val="008450EA"/>
    <w:rsid w:val="00855C2A"/>
    <w:rsid w:val="008629FB"/>
    <w:rsid w:val="00867776"/>
    <w:rsid w:val="0087555B"/>
    <w:rsid w:val="00877288"/>
    <w:rsid w:val="008812F0"/>
    <w:rsid w:val="0088240F"/>
    <w:rsid w:val="00892D38"/>
    <w:rsid w:val="00895911"/>
    <w:rsid w:val="008A1B12"/>
    <w:rsid w:val="008A2F02"/>
    <w:rsid w:val="008A3AA6"/>
    <w:rsid w:val="008A4900"/>
    <w:rsid w:val="008A5F87"/>
    <w:rsid w:val="008B06B0"/>
    <w:rsid w:val="008B188D"/>
    <w:rsid w:val="008B5096"/>
    <w:rsid w:val="008B5CC3"/>
    <w:rsid w:val="008B63CF"/>
    <w:rsid w:val="008B6C8B"/>
    <w:rsid w:val="008C31D7"/>
    <w:rsid w:val="008C3ABE"/>
    <w:rsid w:val="008C723C"/>
    <w:rsid w:val="008D2AEB"/>
    <w:rsid w:val="008D46D2"/>
    <w:rsid w:val="008D486E"/>
    <w:rsid w:val="008E0581"/>
    <w:rsid w:val="008E6280"/>
    <w:rsid w:val="008F0014"/>
    <w:rsid w:val="00902D0A"/>
    <w:rsid w:val="00905116"/>
    <w:rsid w:val="00911E44"/>
    <w:rsid w:val="009148A5"/>
    <w:rsid w:val="00924560"/>
    <w:rsid w:val="00931FD2"/>
    <w:rsid w:val="00933909"/>
    <w:rsid w:val="00935B53"/>
    <w:rsid w:val="00937A3A"/>
    <w:rsid w:val="0094028A"/>
    <w:rsid w:val="00953E80"/>
    <w:rsid w:val="00955B02"/>
    <w:rsid w:val="00960F4E"/>
    <w:rsid w:val="00963ACB"/>
    <w:rsid w:val="00972932"/>
    <w:rsid w:val="00977894"/>
    <w:rsid w:val="00981492"/>
    <w:rsid w:val="0099013D"/>
    <w:rsid w:val="009A400D"/>
    <w:rsid w:val="009A6642"/>
    <w:rsid w:val="009B0C64"/>
    <w:rsid w:val="009B0E22"/>
    <w:rsid w:val="009B1D31"/>
    <w:rsid w:val="009B3C78"/>
    <w:rsid w:val="009B4D3B"/>
    <w:rsid w:val="009B75CA"/>
    <w:rsid w:val="009C1A86"/>
    <w:rsid w:val="009D23D8"/>
    <w:rsid w:val="009D5DF0"/>
    <w:rsid w:val="009D7407"/>
    <w:rsid w:val="009E0866"/>
    <w:rsid w:val="009E1B6A"/>
    <w:rsid w:val="009E4AAF"/>
    <w:rsid w:val="009F026D"/>
    <w:rsid w:val="009F64C4"/>
    <w:rsid w:val="00A0182A"/>
    <w:rsid w:val="00A01CB7"/>
    <w:rsid w:val="00A0490A"/>
    <w:rsid w:val="00A04B02"/>
    <w:rsid w:val="00A072FC"/>
    <w:rsid w:val="00A11F0F"/>
    <w:rsid w:val="00A223EB"/>
    <w:rsid w:val="00A23F15"/>
    <w:rsid w:val="00A24A62"/>
    <w:rsid w:val="00A31C9F"/>
    <w:rsid w:val="00A31FB8"/>
    <w:rsid w:val="00A34DFD"/>
    <w:rsid w:val="00A47B87"/>
    <w:rsid w:val="00A563D9"/>
    <w:rsid w:val="00A603CF"/>
    <w:rsid w:val="00A61C73"/>
    <w:rsid w:val="00A756D6"/>
    <w:rsid w:val="00A800A6"/>
    <w:rsid w:val="00A81072"/>
    <w:rsid w:val="00A86738"/>
    <w:rsid w:val="00AA09D3"/>
    <w:rsid w:val="00AA799B"/>
    <w:rsid w:val="00AC164A"/>
    <w:rsid w:val="00AE7AAC"/>
    <w:rsid w:val="00AF1646"/>
    <w:rsid w:val="00B03832"/>
    <w:rsid w:val="00B057F2"/>
    <w:rsid w:val="00B05F95"/>
    <w:rsid w:val="00B1404A"/>
    <w:rsid w:val="00B16B9B"/>
    <w:rsid w:val="00B16EF5"/>
    <w:rsid w:val="00B171E2"/>
    <w:rsid w:val="00B26CC3"/>
    <w:rsid w:val="00B2772E"/>
    <w:rsid w:val="00B32568"/>
    <w:rsid w:val="00B3774D"/>
    <w:rsid w:val="00B43404"/>
    <w:rsid w:val="00B54E52"/>
    <w:rsid w:val="00B62201"/>
    <w:rsid w:val="00B83B4C"/>
    <w:rsid w:val="00B83C6A"/>
    <w:rsid w:val="00B86866"/>
    <w:rsid w:val="00B905BC"/>
    <w:rsid w:val="00B94B42"/>
    <w:rsid w:val="00BA7843"/>
    <w:rsid w:val="00BA79CF"/>
    <w:rsid w:val="00BB26C5"/>
    <w:rsid w:val="00BB73BA"/>
    <w:rsid w:val="00BC0157"/>
    <w:rsid w:val="00BC70D2"/>
    <w:rsid w:val="00BD5640"/>
    <w:rsid w:val="00BD648B"/>
    <w:rsid w:val="00BE4900"/>
    <w:rsid w:val="00BE77A9"/>
    <w:rsid w:val="00BF25D3"/>
    <w:rsid w:val="00BF3559"/>
    <w:rsid w:val="00BF4DE6"/>
    <w:rsid w:val="00C02042"/>
    <w:rsid w:val="00C054EE"/>
    <w:rsid w:val="00C25538"/>
    <w:rsid w:val="00C26657"/>
    <w:rsid w:val="00C313C9"/>
    <w:rsid w:val="00C32F1B"/>
    <w:rsid w:val="00C42CDE"/>
    <w:rsid w:val="00C470A0"/>
    <w:rsid w:val="00C506BA"/>
    <w:rsid w:val="00C5767F"/>
    <w:rsid w:val="00C656F1"/>
    <w:rsid w:val="00C9410C"/>
    <w:rsid w:val="00C9483E"/>
    <w:rsid w:val="00C96C83"/>
    <w:rsid w:val="00CA37B1"/>
    <w:rsid w:val="00CA6F9D"/>
    <w:rsid w:val="00CB1959"/>
    <w:rsid w:val="00CB27B4"/>
    <w:rsid w:val="00CD066B"/>
    <w:rsid w:val="00CD64AE"/>
    <w:rsid w:val="00D0296C"/>
    <w:rsid w:val="00D12690"/>
    <w:rsid w:val="00D149A3"/>
    <w:rsid w:val="00D16A03"/>
    <w:rsid w:val="00D37C23"/>
    <w:rsid w:val="00D42ECB"/>
    <w:rsid w:val="00D54FAE"/>
    <w:rsid w:val="00D55058"/>
    <w:rsid w:val="00D60BD8"/>
    <w:rsid w:val="00D6461E"/>
    <w:rsid w:val="00D647F4"/>
    <w:rsid w:val="00D77903"/>
    <w:rsid w:val="00D82B66"/>
    <w:rsid w:val="00D83225"/>
    <w:rsid w:val="00D84A95"/>
    <w:rsid w:val="00D913D0"/>
    <w:rsid w:val="00D94614"/>
    <w:rsid w:val="00DA3583"/>
    <w:rsid w:val="00DA5EA8"/>
    <w:rsid w:val="00DB40E6"/>
    <w:rsid w:val="00DB6702"/>
    <w:rsid w:val="00DB734C"/>
    <w:rsid w:val="00DB7D6C"/>
    <w:rsid w:val="00DC18CC"/>
    <w:rsid w:val="00DD6114"/>
    <w:rsid w:val="00DE2C9B"/>
    <w:rsid w:val="00DE363F"/>
    <w:rsid w:val="00DF4B1F"/>
    <w:rsid w:val="00DF641F"/>
    <w:rsid w:val="00DF700A"/>
    <w:rsid w:val="00E03594"/>
    <w:rsid w:val="00E04330"/>
    <w:rsid w:val="00E13E10"/>
    <w:rsid w:val="00E20BD8"/>
    <w:rsid w:val="00E22C3E"/>
    <w:rsid w:val="00E37FA2"/>
    <w:rsid w:val="00E40609"/>
    <w:rsid w:val="00E53800"/>
    <w:rsid w:val="00E54BCB"/>
    <w:rsid w:val="00E6081F"/>
    <w:rsid w:val="00E62763"/>
    <w:rsid w:val="00E67796"/>
    <w:rsid w:val="00E80A47"/>
    <w:rsid w:val="00E841BD"/>
    <w:rsid w:val="00E84F00"/>
    <w:rsid w:val="00E85BAF"/>
    <w:rsid w:val="00E90D48"/>
    <w:rsid w:val="00E9181A"/>
    <w:rsid w:val="00E932B5"/>
    <w:rsid w:val="00E95C2E"/>
    <w:rsid w:val="00EA04B2"/>
    <w:rsid w:val="00EA20F3"/>
    <w:rsid w:val="00EB3322"/>
    <w:rsid w:val="00EB3DCB"/>
    <w:rsid w:val="00EC1153"/>
    <w:rsid w:val="00EC5788"/>
    <w:rsid w:val="00ED1F41"/>
    <w:rsid w:val="00ED3BBA"/>
    <w:rsid w:val="00ED43D1"/>
    <w:rsid w:val="00ED5D08"/>
    <w:rsid w:val="00ED6BA0"/>
    <w:rsid w:val="00EE2AAA"/>
    <w:rsid w:val="00EE6A41"/>
    <w:rsid w:val="00F11886"/>
    <w:rsid w:val="00F14056"/>
    <w:rsid w:val="00F2684E"/>
    <w:rsid w:val="00F30F4E"/>
    <w:rsid w:val="00F31826"/>
    <w:rsid w:val="00F343E0"/>
    <w:rsid w:val="00F35F51"/>
    <w:rsid w:val="00F431AE"/>
    <w:rsid w:val="00F51109"/>
    <w:rsid w:val="00F51B88"/>
    <w:rsid w:val="00F529A4"/>
    <w:rsid w:val="00F53D34"/>
    <w:rsid w:val="00F70396"/>
    <w:rsid w:val="00F729EF"/>
    <w:rsid w:val="00F74C2D"/>
    <w:rsid w:val="00F81D2F"/>
    <w:rsid w:val="00F823CD"/>
    <w:rsid w:val="00F827AE"/>
    <w:rsid w:val="00F8626A"/>
    <w:rsid w:val="00F90582"/>
    <w:rsid w:val="00F9093E"/>
    <w:rsid w:val="00F96BB9"/>
    <w:rsid w:val="00FA26F8"/>
    <w:rsid w:val="00FA3AFB"/>
    <w:rsid w:val="00FB0934"/>
    <w:rsid w:val="00FB1F21"/>
    <w:rsid w:val="00FB5D5A"/>
    <w:rsid w:val="00FB708C"/>
    <w:rsid w:val="00FB737A"/>
    <w:rsid w:val="00FC3A60"/>
    <w:rsid w:val="00FD0996"/>
    <w:rsid w:val="00FD2D19"/>
    <w:rsid w:val="00FD4ED4"/>
    <w:rsid w:val="00FD7AA9"/>
    <w:rsid w:val="00FE38BD"/>
    <w:rsid w:val="00FE6C13"/>
    <w:rsid w:val="00FE6D51"/>
    <w:rsid w:val="00FE702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EC21CDE"/>
  <w15:chartTrackingRefBased/>
  <w15:docId w15:val="{C0D9065F-52D1-409D-902D-8E93C63B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05"/>
    <w:pPr>
      <w:suppressAutoHyphens/>
      <w:spacing w:before="100" w:after="100" w:line="260" w:lineRule="atLeast"/>
    </w:pPr>
    <w:rPr>
      <w:color w:val="404040"/>
      <w:sz w:val="22"/>
      <w:szCs w:val="22"/>
      <w:lang w:eastAsia="en-US"/>
    </w:rPr>
  </w:style>
  <w:style w:type="paragraph" w:styleId="Heading1">
    <w:name w:val="heading 1"/>
    <w:basedOn w:val="Normal"/>
    <w:next w:val="Normal"/>
    <w:link w:val="Heading1Char"/>
    <w:uiPriority w:val="9"/>
    <w:qFormat/>
    <w:rsid w:val="00351DD0"/>
    <w:pPr>
      <w:keepNext/>
      <w:keepLines/>
      <w:spacing w:before="240" w:after="240"/>
      <w:contextualSpacing/>
      <w:outlineLvl w:val="0"/>
    </w:pPr>
    <w:rPr>
      <w:rFonts w:eastAsia="MS Gothic"/>
      <w:b/>
      <w:bCs/>
      <w:caps/>
      <w:szCs w:val="28"/>
    </w:rPr>
  </w:style>
  <w:style w:type="paragraph" w:styleId="Heading2">
    <w:name w:val="heading 2"/>
    <w:basedOn w:val="Normal"/>
    <w:next w:val="Normal"/>
    <w:link w:val="Heading2Char"/>
    <w:uiPriority w:val="9"/>
    <w:unhideWhenUsed/>
    <w:qFormat/>
    <w:rsid w:val="00351DD0"/>
    <w:pPr>
      <w:keepNext/>
      <w:keepLines/>
      <w:spacing w:before="240"/>
      <w:contextualSpacing/>
      <w:outlineLvl w:val="1"/>
    </w:pPr>
    <w:rPr>
      <w:rFonts w:eastAsia="MS Gothic"/>
      <w:b/>
      <w:bCs/>
      <w:color w:val="947246"/>
      <w:szCs w:val="26"/>
    </w:rPr>
  </w:style>
  <w:style w:type="paragraph" w:styleId="Heading3">
    <w:name w:val="heading 3"/>
    <w:basedOn w:val="Normal"/>
    <w:next w:val="Normal"/>
    <w:link w:val="Heading3Char"/>
    <w:uiPriority w:val="9"/>
    <w:unhideWhenUsed/>
    <w:qFormat/>
    <w:rsid w:val="00687F05"/>
    <w:pPr>
      <w:keepNext/>
      <w:keepLines/>
      <w:spacing w:line="280" w:lineRule="atLeast"/>
      <w:contextualSpacing/>
      <w:outlineLvl w:val="2"/>
    </w:pPr>
    <w:rPr>
      <w:rFonts w:eastAsia="MS Gothic"/>
      <w:b/>
      <w:bCs/>
    </w:rPr>
  </w:style>
  <w:style w:type="paragraph" w:styleId="Heading4">
    <w:name w:val="heading 4"/>
    <w:basedOn w:val="Normal"/>
    <w:next w:val="Normal"/>
    <w:link w:val="Heading4Char"/>
    <w:uiPriority w:val="9"/>
    <w:unhideWhenUsed/>
    <w:qFormat/>
    <w:rsid w:val="00ED5D08"/>
    <w:pPr>
      <w:keepNext/>
      <w:keepLines/>
      <w:spacing w:before="180" w:after="0"/>
      <w:outlineLvl w:val="3"/>
    </w:pPr>
    <w:rPr>
      <w:rFonts w:eastAsia="MS Gothic"/>
      <w:b/>
      <w:i/>
      <w:iCs/>
      <w:sz w:val="24"/>
    </w:rPr>
  </w:style>
  <w:style w:type="paragraph" w:styleId="Heading5">
    <w:name w:val="heading 5"/>
    <w:basedOn w:val="Normal"/>
    <w:next w:val="Normal"/>
    <w:link w:val="Heading5Char"/>
    <w:uiPriority w:val="9"/>
    <w:semiHidden/>
    <w:unhideWhenUsed/>
    <w:qFormat/>
    <w:rsid w:val="00623BA1"/>
    <w:pPr>
      <w:keepNext/>
      <w:keepLines/>
      <w:spacing w:before="240" w:after="0"/>
      <w:outlineLvl w:val="4"/>
    </w:pPr>
    <w:rPr>
      <w:rFonts w:eastAsia="MS Gothic"/>
      <w: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1DD0"/>
    <w:rPr>
      <w:rFonts w:ascii="Calibri" w:eastAsia="MS Gothic" w:hAnsi="Calibri" w:cs="Times New Roman"/>
      <w:b/>
      <w:bCs/>
      <w:caps/>
      <w:color w:val="404040"/>
      <w:sz w:val="20"/>
      <w:szCs w:val="28"/>
    </w:rPr>
  </w:style>
  <w:style w:type="character" w:customStyle="1" w:styleId="Heading2Char">
    <w:name w:val="Heading 2 Char"/>
    <w:link w:val="Heading2"/>
    <w:uiPriority w:val="9"/>
    <w:rsid w:val="00351DD0"/>
    <w:rPr>
      <w:rFonts w:ascii="Calibri" w:eastAsia="MS Gothic" w:hAnsi="Calibri" w:cs="Times New Roman"/>
      <w:b/>
      <w:bCs/>
      <w:color w:val="947246"/>
      <w:sz w:val="20"/>
      <w:szCs w:val="26"/>
    </w:rPr>
  </w:style>
  <w:style w:type="character" w:customStyle="1" w:styleId="Heading3Char">
    <w:name w:val="Heading 3 Char"/>
    <w:link w:val="Heading3"/>
    <w:uiPriority w:val="9"/>
    <w:rsid w:val="00687F05"/>
    <w:rPr>
      <w:rFonts w:ascii="Calibri" w:eastAsia="MS Gothic" w:hAnsi="Calibri" w:cs="Times New Roman"/>
      <w:b/>
      <w:bCs/>
      <w:color w:val="404040"/>
    </w:rPr>
  </w:style>
  <w:style w:type="paragraph" w:customStyle="1" w:styleId="NormalIndented">
    <w:name w:val="Normal Indented"/>
    <w:basedOn w:val="Normal"/>
    <w:qFormat/>
    <w:rsid w:val="00ED5D08"/>
    <w:pPr>
      <w:ind w:left="284"/>
    </w:pPr>
  </w:style>
  <w:style w:type="paragraph" w:styleId="Title">
    <w:name w:val="Title"/>
    <w:basedOn w:val="Normal"/>
    <w:next w:val="Normal"/>
    <w:link w:val="TitleChar"/>
    <w:uiPriority w:val="10"/>
    <w:qFormat/>
    <w:rsid w:val="00B83B4C"/>
    <w:pPr>
      <w:spacing w:after="0" w:line="300" w:lineRule="atLeast"/>
      <w:ind w:right="284"/>
      <w:contextualSpacing/>
      <w:jc w:val="right"/>
    </w:pPr>
    <w:rPr>
      <w:rFonts w:eastAsia="MS Gothic"/>
      <w:b/>
      <w:color w:val="BCCF00"/>
      <w:kern w:val="28"/>
      <w:sz w:val="24"/>
      <w:szCs w:val="52"/>
    </w:rPr>
  </w:style>
  <w:style w:type="character" w:customStyle="1" w:styleId="TitleChar">
    <w:name w:val="Title Char"/>
    <w:link w:val="Title"/>
    <w:uiPriority w:val="10"/>
    <w:rsid w:val="00B83B4C"/>
    <w:rPr>
      <w:rFonts w:ascii="Calibri" w:eastAsia="MS Gothic" w:hAnsi="Calibri" w:cs="Times New Roman"/>
      <w:b/>
      <w:color w:val="BCCF00"/>
      <w:kern w:val="28"/>
      <w:sz w:val="24"/>
      <w:szCs w:val="52"/>
    </w:rPr>
  </w:style>
  <w:style w:type="paragraph" w:styleId="Subtitle">
    <w:name w:val="Subtitle"/>
    <w:basedOn w:val="Normal"/>
    <w:next w:val="Normal"/>
    <w:link w:val="SubtitleChar"/>
    <w:uiPriority w:val="11"/>
    <w:qFormat/>
    <w:rsid w:val="00B83B4C"/>
    <w:pPr>
      <w:numPr>
        <w:ilvl w:val="1"/>
      </w:numPr>
      <w:spacing w:after="800"/>
      <w:ind w:right="284"/>
      <w:contextualSpacing/>
      <w:jc w:val="right"/>
    </w:pPr>
    <w:rPr>
      <w:rFonts w:eastAsia="MS Gothic"/>
      <w:iCs/>
      <w:color w:val="BCCF00"/>
      <w:szCs w:val="24"/>
    </w:rPr>
  </w:style>
  <w:style w:type="character" w:customStyle="1" w:styleId="SubtitleChar">
    <w:name w:val="Subtitle Char"/>
    <w:link w:val="Subtitle"/>
    <w:uiPriority w:val="11"/>
    <w:rsid w:val="00B83B4C"/>
    <w:rPr>
      <w:rFonts w:ascii="Calibri" w:eastAsia="MS Gothic" w:hAnsi="Calibri" w:cs="Times New Roman"/>
      <w:iCs/>
      <w:color w:val="BCCF00"/>
      <w:szCs w:val="24"/>
    </w:rPr>
  </w:style>
  <w:style w:type="paragraph" w:customStyle="1" w:styleId="Bullet1">
    <w:name w:val="Bullet 1"/>
    <w:basedOn w:val="Normal"/>
    <w:qFormat/>
    <w:rsid w:val="00977894"/>
    <w:pPr>
      <w:numPr>
        <w:numId w:val="9"/>
      </w:numPr>
      <w:spacing w:before="0"/>
    </w:pPr>
  </w:style>
  <w:style w:type="paragraph" w:customStyle="1" w:styleId="Bullet2">
    <w:name w:val="Bullet 2"/>
    <w:basedOn w:val="Normal"/>
    <w:qFormat/>
    <w:rsid w:val="00977894"/>
    <w:pPr>
      <w:numPr>
        <w:ilvl w:val="1"/>
        <w:numId w:val="9"/>
      </w:numPr>
      <w:spacing w:before="0"/>
    </w:pPr>
  </w:style>
  <w:style w:type="paragraph" w:customStyle="1" w:styleId="Bullet3">
    <w:name w:val="Bullet 3"/>
    <w:basedOn w:val="Normal"/>
    <w:qFormat/>
    <w:rsid w:val="00977894"/>
    <w:pPr>
      <w:numPr>
        <w:ilvl w:val="2"/>
        <w:numId w:val="9"/>
      </w:numPr>
      <w:spacing w:before="0"/>
    </w:pPr>
  </w:style>
  <w:style w:type="paragraph" w:customStyle="1" w:styleId="NumberedList1">
    <w:name w:val="Numbered List 1"/>
    <w:basedOn w:val="Normal"/>
    <w:qFormat/>
    <w:rsid w:val="00977894"/>
    <w:pPr>
      <w:numPr>
        <w:numId w:val="6"/>
      </w:numPr>
      <w:spacing w:before="0"/>
    </w:pPr>
  </w:style>
  <w:style w:type="paragraph" w:customStyle="1" w:styleId="NumberedList2">
    <w:name w:val="Numbered List 2"/>
    <w:basedOn w:val="NumberedList1"/>
    <w:qFormat/>
    <w:rsid w:val="00ED5D08"/>
    <w:pPr>
      <w:numPr>
        <w:ilvl w:val="1"/>
      </w:numPr>
    </w:pPr>
  </w:style>
  <w:style w:type="paragraph" w:customStyle="1" w:styleId="NumberedList3">
    <w:name w:val="Numbered List 3"/>
    <w:basedOn w:val="Normal"/>
    <w:qFormat/>
    <w:rsid w:val="00977894"/>
    <w:pPr>
      <w:numPr>
        <w:ilvl w:val="2"/>
        <w:numId w:val="6"/>
      </w:numPr>
      <w:spacing w:before="0"/>
    </w:pPr>
  </w:style>
  <w:style w:type="paragraph" w:customStyle="1" w:styleId="Heading1Numbered">
    <w:name w:val="Heading 1 Numbered"/>
    <w:basedOn w:val="Heading1"/>
    <w:next w:val="Normal"/>
    <w:qFormat/>
    <w:rsid w:val="00ED5D08"/>
    <w:pPr>
      <w:numPr>
        <w:numId w:val="3"/>
      </w:numPr>
    </w:pPr>
  </w:style>
  <w:style w:type="paragraph" w:customStyle="1" w:styleId="Heading2Numbered">
    <w:name w:val="Heading 2 Numbered"/>
    <w:basedOn w:val="Heading2"/>
    <w:next w:val="Normal"/>
    <w:qFormat/>
    <w:rsid w:val="00ED5D08"/>
    <w:pPr>
      <w:numPr>
        <w:ilvl w:val="1"/>
        <w:numId w:val="3"/>
      </w:numPr>
    </w:pPr>
  </w:style>
  <w:style w:type="paragraph" w:customStyle="1" w:styleId="Heading3Numbered">
    <w:name w:val="Heading 3 Numbered"/>
    <w:basedOn w:val="Heading3"/>
    <w:next w:val="Normal"/>
    <w:qFormat/>
    <w:rsid w:val="00ED5D08"/>
    <w:pPr>
      <w:numPr>
        <w:ilvl w:val="2"/>
        <w:numId w:val="3"/>
      </w:numPr>
    </w:pPr>
  </w:style>
  <w:style w:type="numbering" w:customStyle="1" w:styleId="BulletsList">
    <w:name w:val="Bullets List"/>
    <w:uiPriority w:val="99"/>
    <w:rsid w:val="00977894"/>
    <w:pPr>
      <w:numPr>
        <w:numId w:val="1"/>
      </w:numPr>
    </w:pPr>
  </w:style>
  <w:style w:type="numbering" w:customStyle="1" w:styleId="Numberedlist">
    <w:name w:val="Numbered list"/>
    <w:uiPriority w:val="99"/>
    <w:rsid w:val="00977894"/>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 w:val="32"/>
      <w:szCs w:val="32"/>
      <w:lang w:val="en-US"/>
    </w:rPr>
  </w:style>
  <w:style w:type="character" w:customStyle="1" w:styleId="Heading4Char">
    <w:name w:val="Heading 4 Char"/>
    <w:link w:val="Heading4"/>
    <w:uiPriority w:val="9"/>
    <w:rsid w:val="00ED5D08"/>
    <w:rPr>
      <w:rFonts w:ascii="Calibri" w:eastAsia="MS Gothic" w:hAnsi="Calibri" w:cs="Times New Roman"/>
      <w:b/>
      <w:i/>
      <w:iCs/>
      <w:sz w:val="24"/>
    </w:rPr>
  </w:style>
  <w:style w:type="paragraph" w:styleId="TOC1">
    <w:name w:val="toc 1"/>
    <w:basedOn w:val="Normal"/>
    <w:next w:val="Normal"/>
    <w:autoRedefine/>
    <w:uiPriority w:val="39"/>
    <w:unhideWhenUsed/>
    <w:rsid w:val="0035119D"/>
  </w:style>
  <w:style w:type="paragraph" w:styleId="TOC2">
    <w:name w:val="toc 2"/>
    <w:basedOn w:val="Normal"/>
    <w:next w:val="Normal"/>
    <w:autoRedefine/>
    <w:uiPriority w:val="39"/>
    <w:unhideWhenUsed/>
    <w:rsid w:val="00374708"/>
    <w:pPr>
      <w:tabs>
        <w:tab w:val="left" w:pos="660"/>
        <w:tab w:val="right" w:leader="dot" w:pos="9628"/>
      </w:tabs>
      <w:ind w:left="198"/>
    </w:pPr>
  </w:style>
  <w:style w:type="paragraph" w:styleId="TOC3">
    <w:name w:val="toc 3"/>
    <w:basedOn w:val="Normal"/>
    <w:next w:val="Normal"/>
    <w:autoRedefine/>
    <w:uiPriority w:val="39"/>
    <w:unhideWhenUsed/>
    <w:rsid w:val="0035119D"/>
    <w:pPr>
      <w:ind w:left="400"/>
    </w:pPr>
  </w:style>
  <w:style w:type="paragraph" w:customStyle="1" w:styleId="TableHeadings">
    <w:name w:val="Table Headings"/>
    <w:basedOn w:val="Normal"/>
    <w:next w:val="Normal"/>
    <w:qFormat/>
    <w:rsid w:val="00ED5D08"/>
    <w:pPr>
      <w:numPr>
        <w:numId w:val="4"/>
      </w:numPr>
      <w:spacing w:before="240"/>
      <w:ind w:left="1134" w:hanging="1134"/>
    </w:pPr>
    <w:rPr>
      <w:b/>
      <w:sz w:val="24"/>
    </w:rPr>
  </w:style>
  <w:style w:type="paragraph" w:styleId="TOC4">
    <w:name w:val="toc 4"/>
    <w:basedOn w:val="Normal"/>
    <w:next w:val="Normal"/>
    <w:autoRedefine/>
    <w:uiPriority w:val="39"/>
    <w:unhideWhenUsed/>
    <w:rsid w:val="0035119D"/>
    <w:pPr>
      <w:suppressAutoHyphens w:val="0"/>
      <w:spacing w:before="0" w:line="259" w:lineRule="auto"/>
      <w:ind w:left="660"/>
    </w:pPr>
    <w:rPr>
      <w:rFonts w:eastAsia="MS Mincho"/>
      <w:lang w:eastAsia="en-AU"/>
    </w:rPr>
  </w:style>
  <w:style w:type="paragraph" w:styleId="TOC5">
    <w:name w:val="toc 5"/>
    <w:basedOn w:val="Normal"/>
    <w:next w:val="Normal"/>
    <w:autoRedefine/>
    <w:uiPriority w:val="39"/>
    <w:unhideWhenUsed/>
    <w:rsid w:val="0035119D"/>
    <w:pPr>
      <w:suppressAutoHyphens w:val="0"/>
      <w:spacing w:before="0" w:line="259" w:lineRule="auto"/>
      <w:ind w:left="880"/>
    </w:pPr>
    <w:rPr>
      <w:rFonts w:eastAsia="MS Mincho"/>
      <w:lang w:eastAsia="en-AU"/>
    </w:rPr>
  </w:style>
  <w:style w:type="paragraph" w:styleId="TOC6">
    <w:name w:val="toc 6"/>
    <w:basedOn w:val="Normal"/>
    <w:next w:val="Normal"/>
    <w:autoRedefine/>
    <w:uiPriority w:val="39"/>
    <w:unhideWhenUsed/>
    <w:rsid w:val="0035119D"/>
    <w:pPr>
      <w:suppressAutoHyphens w:val="0"/>
      <w:spacing w:before="0" w:line="259" w:lineRule="auto"/>
      <w:ind w:left="1100"/>
    </w:pPr>
    <w:rPr>
      <w:rFonts w:eastAsia="MS Mincho"/>
      <w:lang w:eastAsia="en-AU"/>
    </w:rPr>
  </w:style>
  <w:style w:type="paragraph" w:styleId="TOC7">
    <w:name w:val="toc 7"/>
    <w:basedOn w:val="Normal"/>
    <w:next w:val="Normal"/>
    <w:autoRedefine/>
    <w:uiPriority w:val="39"/>
    <w:unhideWhenUsed/>
    <w:rsid w:val="0035119D"/>
    <w:pPr>
      <w:suppressAutoHyphens w:val="0"/>
      <w:spacing w:before="0" w:line="259" w:lineRule="auto"/>
      <w:ind w:left="1320"/>
    </w:pPr>
    <w:rPr>
      <w:rFonts w:eastAsia="MS Mincho"/>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line="259" w:lineRule="auto"/>
      <w:ind w:left="1540"/>
    </w:pPr>
    <w:rPr>
      <w:rFonts w:eastAsia="MS Mincho"/>
      <w:lang w:eastAsia="en-AU"/>
    </w:rPr>
  </w:style>
  <w:style w:type="paragraph" w:styleId="TOC9">
    <w:name w:val="toc 9"/>
    <w:basedOn w:val="Normal"/>
    <w:next w:val="Normal"/>
    <w:autoRedefine/>
    <w:uiPriority w:val="39"/>
    <w:unhideWhenUsed/>
    <w:rsid w:val="0035119D"/>
    <w:pPr>
      <w:suppressAutoHyphens w:val="0"/>
      <w:spacing w:before="0" w:line="259" w:lineRule="auto"/>
      <w:ind w:left="1760"/>
    </w:pPr>
    <w:rPr>
      <w:rFonts w:eastAsia="MS Mincho"/>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5D08"/>
    <w:pPr>
      <w:spacing w:line="280" w:lineRule="atLeast"/>
    </w:pPr>
    <w:rPr>
      <w:sz w:val="24"/>
    </w:rPr>
  </w:style>
  <w:style w:type="table" w:styleId="TableGrid">
    <w:name w:val="Table Grid"/>
    <w:basedOn w:val="TableNormal"/>
    <w:uiPriority w:val="59"/>
    <w:rsid w:val="0031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s">
    <w:name w:val="Figure Headings"/>
    <w:basedOn w:val="Normal"/>
    <w:next w:val="Normal"/>
    <w:qFormat/>
    <w:rsid w:val="00ED5D08"/>
    <w:pPr>
      <w:numPr>
        <w:numId w:val="5"/>
      </w:numPr>
      <w:spacing w:before="240"/>
      <w:ind w:left="1134" w:hanging="1134"/>
    </w:pPr>
    <w:rPr>
      <w:b/>
      <w:sz w:val="24"/>
    </w:rPr>
  </w:style>
  <w:style w:type="numbering" w:customStyle="1" w:styleId="FigureTitles">
    <w:name w:val="Figure Titles"/>
    <w:uiPriority w:val="99"/>
    <w:rsid w:val="006346BC"/>
    <w:pPr>
      <w:numPr>
        <w:numId w:val="5"/>
      </w:numPr>
    </w:pPr>
  </w:style>
  <w:style w:type="character" w:styleId="Hyperlink">
    <w:name w:val="Hyperlink"/>
    <w:uiPriority w:val="99"/>
    <w:rsid w:val="00F729EF"/>
    <w:rPr>
      <w:rFonts w:ascii="Calibri" w:hAnsi="Calibri" w:cs="MuseoSans-500"/>
      <w:color w:val="auto"/>
      <w:u w:val="single" w:color="0070C0"/>
    </w:rPr>
  </w:style>
  <w:style w:type="character" w:styleId="IntenseEmphasis">
    <w:name w:val="Intense Emphasis"/>
    <w:uiPriority w:val="21"/>
    <w:qFormat/>
    <w:rsid w:val="00FE6D51"/>
    <w:rPr>
      <w:b/>
      <w:i/>
      <w:iCs/>
      <w:color w:val="auto"/>
    </w:rPr>
  </w:style>
  <w:style w:type="character" w:styleId="Strong">
    <w:name w:val="Strong"/>
    <w:uiPriority w:val="22"/>
    <w:qFormat/>
    <w:rsid w:val="00FE6D51"/>
    <w:rPr>
      <w:b/>
      <w:bCs/>
    </w:rPr>
  </w:style>
  <w:style w:type="character" w:styleId="Emphasis">
    <w:name w:val="Emphasis"/>
    <w:uiPriority w:val="20"/>
    <w:qFormat/>
    <w:rsid w:val="009D7407"/>
    <w:rPr>
      <w:i/>
      <w:iCs/>
    </w:rPr>
  </w:style>
  <w:style w:type="character" w:customStyle="1" w:styleId="Heading5Char">
    <w:name w:val="Heading 5 Char"/>
    <w:link w:val="Heading5"/>
    <w:uiPriority w:val="9"/>
    <w:semiHidden/>
    <w:rsid w:val="00623BA1"/>
    <w:rPr>
      <w:rFonts w:ascii="Calibri" w:eastAsia="MS Gothic" w:hAnsi="Calibri" w:cs="Times New Roman"/>
      <w:i/>
      <w:color w:val="365F91"/>
    </w:rPr>
  </w:style>
  <w:style w:type="paragraph" w:styleId="Header">
    <w:name w:val="header"/>
    <w:basedOn w:val="Normal"/>
    <w:link w:val="HeaderChar"/>
    <w:uiPriority w:val="99"/>
    <w:unhideWhenUsed/>
    <w:rsid w:val="005D0115"/>
    <w:pPr>
      <w:tabs>
        <w:tab w:val="center" w:pos="4513"/>
        <w:tab w:val="right" w:pos="9026"/>
      </w:tabs>
      <w:spacing w:before="0" w:after="0" w:line="240" w:lineRule="auto"/>
    </w:pPr>
  </w:style>
  <w:style w:type="character" w:customStyle="1" w:styleId="HeaderChar">
    <w:name w:val="Header Char"/>
    <w:link w:val="Header"/>
    <w:uiPriority w:val="99"/>
    <w:rsid w:val="005D0115"/>
    <w:rPr>
      <w:rFonts w:ascii="Calibri" w:hAnsi="Calibri"/>
      <w:sz w:val="20"/>
    </w:rPr>
  </w:style>
  <w:style w:type="paragraph" w:styleId="Footer">
    <w:name w:val="footer"/>
    <w:basedOn w:val="Normal"/>
    <w:link w:val="FooterChar"/>
    <w:uiPriority w:val="99"/>
    <w:unhideWhenUsed/>
    <w:rsid w:val="005D0115"/>
    <w:pPr>
      <w:tabs>
        <w:tab w:val="center" w:pos="4513"/>
        <w:tab w:val="right" w:pos="9026"/>
      </w:tabs>
      <w:spacing w:before="0" w:after="0" w:line="240" w:lineRule="auto"/>
    </w:pPr>
  </w:style>
  <w:style w:type="character" w:customStyle="1" w:styleId="FooterChar">
    <w:name w:val="Footer Char"/>
    <w:link w:val="Footer"/>
    <w:uiPriority w:val="99"/>
    <w:rsid w:val="005D0115"/>
    <w:rPr>
      <w:rFonts w:ascii="Calibri" w:hAnsi="Calibri"/>
      <w:sz w:val="20"/>
    </w:rPr>
  </w:style>
  <w:style w:type="paragraph" w:styleId="BalloonText">
    <w:name w:val="Balloon Text"/>
    <w:basedOn w:val="Normal"/>
    <w:link w:val="BalloonTextChar"/>
    <w:uiPriority w:val="99"/>
    <w:semiHidden/>
    <w:unhideWhenUsed/>
    <w:rsid w:val="005D011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D0115"/>
    <w:rPr>
      <w:rFonts w:ascii="Tahoma" w:hAnsi="Tahoma" w:cs="Tahoma"/>
      <w:sz w:val="16"/>
      <w:szCs w:val="16"/>
    </w:rPr>
  </w:style>
  <w:style w:type="paragraph" w:customStyle="1" w:styleId="AlphaList1">
    <w:name w:val="Alpha List 1"/>
    <w:basedOn w:val="Normal"/>
    <w:qFormat/>
    <w:rsid w:val="00977894"/>
    <w:pPr>
      <w:numPr>
        <w:numId w:val="8"/>
      </w:numPr>
      <w:ind w:left="284"/>
    </w:pPr>
    <w:rPr>
      <w:lang w:val="en-US"/>
    </w:rPr>
  </w:style>
  <w:style w:type="paragraph" w:customStyle="1" w:styleId="AlphaList2">
    <w:name w:val="Alpha List 2"/>
    <w:basedOn w:val="Normal"/>
    <w:qFormat/>
    <w:rsid w:val="00977894"/>
    <w:pPr>
      <w:numPr>
        <w:ilvl w:val="1"/>
        <w:numId w:val="8"/>
      </w:numPr>
    </w:pPr>
    <w:rPr>
      <w:lang w:val="en-US"/>
    </w:rPr>
  </w:style>
  <w:style w:type="paragraph" w:customStyle="1" w:styleId="AlphaList3">
    <w:name w:val="Alpha List 3"/>
    <w:basedOn w:val="Normal"/>
    <w:qFormat/>
    <w:rsid w:val="00977894"/>
    <w:pPr>
      <w:numPr>
        <w:ilvl w:val="2"/>
        <w:numId w:val="8"/>
      </w:numPr>
    </w:pPr>
    <w:rPr>
      <w:lang w:val="en-US"/>
    </w:rPr>
  </w:style>
  <w:style w:type="numbering" w:customStyle="1" w:styleId="AlphaLists">
    <w:name w:val="Alpha Lists"/>
    <w:uiPriority w:val="99"/>
    <w:rsid w:val="00977894"/>
    <w:pPr>
      <w:numPr>
        <w:numId w:val="7"/>
      </w:numPr>
    </w:pPr>
  </w:style>
  <w:style w:type="character" w:customStyle="1" w:styleId="ColourGold">
    <w:name w:val="Colour: Gold"/>
    <w:uiPriority w:val="1"/>
    <w:qFormat/>
    <w:rsid w:val="00D647F4"/>
    <w:rPr>
      <w:color w:val="947246"/>
      <w:lang w:val="en-US"/>
    </w:rPr>
  </w:style>
  <w:style w:type="paragraph" w:customStyle="1" w:styleId="DocumentGroup">
    <w:name w:val="Document Group"/>
    <w:basedOn w:val="Title"/>
    <w:qFormat/>
    <w:rsid w:val="003A70E5"/>
    <w:pPr>
      <w:spacing w:before="0" w:after="1000" w:line="340" w:lineRule="atLeast"/>
    </w:pPr>
    <w:rPr>
      <w:color w:val="FFFFFF"/>
      <w:sz w:val="28"/>
      <w:lang w:val="en-US"/>
    </w:rPr>
  </w:style>
  <w:style w:type="paragraph" w:customStyle="1" w:styleId="Default">
    <w:name w:val="Default"/>
    <w:rsid w:val="001F6E1B"/>
    <w:pPr>
      <w:autoSpaceDE w:val="0"/>
      <w:autoSpaceDN w:val="0"/>
      <w:adjustRightInd w:val="0"/>
    </w:pPr>
    <w:rPr>
      <w:rFonts w:cs="Calibri"/>
      <w:color w:val="000000"/>
      <w:sz w:val="24"/>
      <w:szCs w:val="24"/>
      <w:lang w:eastAsia="en-US"/>
    </w:rPr>
  </w:style>
  <w:style w:type="paragraph" w:styleId="ListParagraph">
    <w:name w:val="List Paragraph"/>
    <w:aliases w:val="Bulletr List Paragraph,Use Case List Paragraph,lp1,Figure_name,List Paragraph1,Numbered Indented Text,Bullet- First level,List NUmber,Listenabsatz1,List Paragraph11,Style 2,TOC style,List Paragraph2,List Paragraph Char Char,Number_1,new,L"/>
    <w:basedOn w:val="Normal"/>
    <w:link w:val="ListParagraphChar"/>
    <w:uiPriority w:val="34"/>
    <w:qFormat/>
    <w:rsid w:val="00373CFA"/>
    <w:pPr>
      <w:ind w:left="720"/>
      <w:contextualSpacing/>
    </w:pPr>
  </w:style>
  <w:style w:type="character" w:styleId="CommentReference">
    <w:name w:val="annotation reference"/>
    <w:uiPriority w:val="99"/>
    <w:semiHidden/>
    <w:unhideWhenUsed/>
    <w:rsid w:val="00B2772E"/>
    <w:rPr>
      <w:sz w:val="16"/>
      <w:szCs w:val="16"/>
    </w:rPr>
  </w:style>
  <w:style w:type="paragraph" w:styleId="CommentText">
    <w:name w:val="annotation text"/>
    <w:basedOn w:val="Normal"/>
    <w:link w:val="CommentTextChar"/>
    <w:uiPriority w:val="99"/>
    <w:semiHidden/>
    <w:unhideWhenUsed/>
    <w:rsid w:val="00B2772E"/>
    <w:rPr>
      <w:sz w:val="20"/>
      <w:szCs w:val="20"/>
    </w:rPr>
  </w:style>
  <w:style w:type="character" w:customStyle="1" w:styleId="CommentTextChar">
    <w:name w:val="Comment Text Char"/>
    <w:link w:val="CommentText"/>
    <w:uiPriority w:val="99"/>
    <w:semiHidden/>
    <w:rsid w:val="00B2772E"/>
    <w:rPr>
      <w:color w:val="404040"/>
      <w:lang w:eastAsia="en-US"/>
    </w:rPr>
  </w:style>
  <w:style w:type="paragraph" w:styleId="CommentSubject">
    <w:name w:val="annotation subject"/>
    <w:basedOn w:val="CommentText"/>
    <w:next w:val="CommentText"/>
    <w:link w:val="CommentSubjectChar"/>
    <w:uiPriority w:val="99"/>
    <w:semiHidden/>
    <w:unhideWhenUsed/>
    <w:rsid w:val="00B2772E"/>
    <w:rPr>
      <w:b/>
      <w:bCs/>
    </w:rPr>
  </w:style>
  <w:style w:type="character" w:customStyle="1" w:styleId="CommentSubjectChar">
    <w:name w:val="Comment Subject Char"/>
    <w:link w:val="CommentSubject"/>
    <w:uiPriority w:val="99"/>
    <w:semiHidden/>
    <w:rsid w:val="00B2772E"/>
    <w:rPr>
      <w:b/>
      <w:bCs/>
      <w:color w:val="404040"/>
      <w:lang w:eastAsia="en-US"/>
    </w:rPr>
  </w:style>
  <w:style w:type="paragraph" w:styleId="FootnoteText">
    <w:name w:val="footnote text"/>
    <w:aliases w:val="ft,Footnote Text Char Char Char Char Char"/>
    <w:basedOn w:val="Normal"/>
    <w:link w:val="FootnoteTextChar"/>
    <w:uiPriority w:val="99"/>
    <w:semiHidden/>
    <w:unhideWhenUsed/>
    <w:rsid w:val="00395B94"/>
    <w:rPr>
      <w:sz w:val="20"/>
      <w:szCs w:val="20"/>
    </w:rPr>
  </w:style>
  <w:style w:type="character" w:customStyle="1" w:styleId="FootnoteTextChar">
    <w:name w:val="Footnote Text Char"/>
    <w:aliases w:val="ft Char,Footnote Text Char Char Char Char Char Char"/>
    <w:link w:val="FootnoteText"/>
    <w:uiPriority w:val="99"/>
    <w:semiHidden/>
    <w:rsid w:val="00395B94"/>
    <w:rPr>
      <w:color w:val="404040"/>
      <w:lang w:eastAsia="en-US"/>
    </w:rPr>
  </w:style>
  <w:style w:type="character" w:styleId="FootnoteReference">
    <w:name w:val="footnote reference"/>
    <w:uiPriority w:val="99"/>
    <w:semiHidden/>
    <w:unhideWhenUsed/>
    <w:rsid w:val="00395B94"/>
    <w:rPr>
      <w:vertAlign w:val="superscript"/>
    </w:rPr>
  </w:style>
  <w:style w:type="character" w:styleId="FollowedHyperlink">
    <w:name w:val="FollowedHyperlink"/>
    <w:uiPriority w:val="99"/>
    <w:semiHidden/>
    <w:unhideWhenUsed/>
    <w:rsid w:val="00CB27B4"/>
    <w:rPr>
      <w:color w:val="954F72"/>
      <w:u w:val="single"/>
    </w:rPr>
  </w:style>
  <w:style w:type="paragraph" w:styleId="Revision">
    <w:name w:val="Revision"/>
    <w:hidden/>
    <w:uiPriority w:val="99"/>
    <w:semiHidden/>
    <w:rsid w:val="00A223EB"/>
    <w:rPr>
      <w:color w:val="404040"/>
      <w:sz w:val="22"/>
      <w:szCs w:val="22"/>
      <w:lang w:eastAsia="en-US"/>
    </w:rPr>
  </w:style>
  <w:style w:type="paragraph" w:customStyle="1" w:styleId="NLDheading">
    <w:name w:val="NLD heading"/>
    <w:basedOn w:val="Heading2"/>
    <w:link w:val="NLDheadingChar"/>
    <w:qFormat/>
    <w:rsid w:val="00B54E52"/>
    <w:pPr>
      <w:numPr>
        <w:numId w:val="14"/>
      </w:numPr>
      <w:jc w:val="both"/>
    </w:pPr>
    <w:rPr>
      <w:noProof/>
    </w:rPr>
  </w:style>
  <w:style w:type="paragraph" w:customStyle="1" w:styleId="nldbody">
    <w:name w:val="nld body"/>
    <w:basedOn w:val="Normal"/>
    <w:qFormat/>
    <w:rsid w:val="002602F4"/>
    <w:pPr>
      <w:spacing w:after="0"/>
      <w:jc w:val="both"/>
    </w:pPr>
    <w:rPr>
      <w:rFonts w:cs="Calibri"/>
      <w:noProof/>
    </w:rPr>
  </w:style>
  <w:style w:type="character" w:customStyle="1" w:styleId="NLDheadingChar">
    <w:name w:val="NLD heading Char"/>
    <w:link w:val="NLDheading"/>
    <w:rsid w:val="00B54E52"/>
    <w:rPr>
      <w:rFonts w:ascii="Calibri" w:eastAsia="MS Gothic" w:hAnsi="Calibri" w:cs="Times New Roman"/>
      <w:b/>
      <w:bCs/>
      <w:noProof/>
      <w:color w:val="947246"/>
      <w:sz w:val="22"/>
      <w:szCs w:val="26"/>
      <w:lang w:eastAsia="en-US"/>
    </w:rPr>
  </w:style>
  <w:style w:type="character" w:customStyle="1" w:styleId="ListParagraphChar">
    <w:name w:val="List Paragraph Char"/>
    <w:aliases w:val="Bulletr List Paragraph Char,Use Case List Paragraph Char,lp1 Char,Figure_name Char,List Paragraph1 Char,Numbered Indented Text Char,Bullet- First level Char,List NUmber Char,Listenabsatz1 Char,List Paragraph11 Char,Style 2 Char"/>
    <w:basedOn w:val="DefaultParagraphFont"/>
    <w:link w:val="ListParagraph"/>
    <w:uiPriority w:val="34"/>
    <w:locked/>
    <w:rsid w:val="006F2BCD"/>
    <w:rPr>
      <w:color w:val="4040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434">
      <w:bodyDiv w:val="1"/>
      <w:marLeft w:val="0"/>
      <w:marRight w:val="0"/>
      <w:marTop w:val="0"/>
      <w:marBottom w:val="0"/>
      <w:divBdr>
        <w:top w:val="none" w:sz="0" w:space="0" w:color="auto"/>
        <w:left w:val="none" w:sz="0" w:space="0" w:color="auto"/>
        <w:bottom w:val="none" w:sz="0" w:space="0" w:color="auto"/>
        <w:right w:val="none" w:sz="0" w:space="0" w:color="auto"/>
      </w:divBdr>
    </w:div>
    <w:div w:id="88893357">
      <w:bodyDiv w:val="1"/>
      <w:marLeft w:val="0"/>
      <w:marRight w:val="0"/>
      <w:marTop w:val="0"/>
      <w:marBottom w:val="0"/>
      <w:divBdr>
        <w:top w:val="none" w:sz="0" w:space="0" w:color="auto"/>
        <w:left w:val="none" w:sz="0" w:space="0" w:color="auto"/>
        <w:bottom w:val="none" w:sz="0" w:space="0" w:color="auto"/>
        <w:right w:val="none" w:sz="0" w:space="0" w:color="auto"/>
      </w:divBdr>
    </w:div>
    <w:div w:id="114297524">
      <w:bodyDiv w:val="1"/>
      <w:marLeft w:val="0"/>
      <w:marRight w:val="0"/>
      <w:marTop w:val="0"/>
      <w:marBottom w:val="0"/>
      <w:divBdr>
        <w:top w:val="none" w:sz="0" w:space="0" w:color="auto"/>
        <w:left w:val="none" w:sz="0" w:space="0" w:color="auto"/>
        <w:bottom w:val="none" w:sz="0" w:space="0" w:color="auto"/>
        <w:right w:val="none" w:sz="0" w:space="0" w:color="auto"/>
      </w:divBdr>
      <w:divsChild>
        <w:div w:id="1466309958">
          <w:marLeft w:val="0"/>
          <w:marRight w:val="0"/>
          <w:marTop w:val="0"/>
          <w:marBottom w:val="0"/>
          <w:divBdr>
            <w:top w:val="none" w:sz="0" w:space="0" w:color="auto"/>
            <w:left w:val="none" w:sz="0" w:space="0" w:color="auto"/>
            <w:bottom w:val="none" w:sz="0" w:space="0" w:color="auto"/>
            <w:right w:val="none" w:sz="0" w:space="0" w:color="auto"/>
          </w:divBdr>
          <w:divsChild>
            <w:div w:id="760679904">
              <w:marLeft w:val="0"/>
              <w:marRight w:val="0"/>
              <w:marTop w:val="0"/>
              <w:marBottom w:val="0"/>
              <w:divBdr>
                <w:top w:val="none" w:sz="0" w:space="0" w:color="auto"/>
                <w:left w:val="none" w:sz="0" w:space="0" w:color="auto"/>
                <w:bottom w:val="none" w:sz="0" w:space="0" w:color="auto"/>
                <w:right w:val="none" w:sz="0" w:space="0" w:color="auto"/>
              </w:divBdr>
              <w:divsChild>
                <w:div w:id="113981395">
                  <w:marLeft w:val="0"/>
                  <w:marRight w:val="0"/>
                  <w:marTop w:val="0"/>
                  <w:marBottom w:val="0"/>
                  <w:divBdr>
                    <w:top w:val="none" w:sz="0" w:space="0" w:color="auto"/>
                    <w:left w:val="none" w:sz="0" w:space="0" w:color="auto"/>
                    <w:bottom w:val="none" w:sz="0" w:space="0" w:color="auto"/>
                    <w:right w:val="none" w:sz="0" w:space="0" w:color="auto"/>
                  </w:divBdr>
                  <w:divsChild>
                    <w:div w:id="1508597123">
                      <w:marLeft w:val="0"/>
                      <w:marRight w:val="0"/>
                      <w:marTop w:val="0"/>
                      <w:marBottom w:val="0"/>
                      <w:divBdr>
                        <w:top w:val="none" w:sz="0" w:space="0" w:color="auto"/>
                        <w:left w:val="none" w:sz="0" w:space="0" w:color="auto"/>
                        <w:bottom w:val="none" w:sz="0" w:space="0" w:color="auto"/>
                        <w:right w:val="none" w:sz="0" w:space="0" w:color="auto"/>
                      </w:divBdr>
                      <w:divsChild>
                        <w:div w:id="845898828">
                          <w:marLeft w:val="0"/>
                          <w:marRight w:val="0"/>
                          <w:marTop w:val="0"/>
                          <w:marBottom w:val="0"/>
                          <w:divBdr>
                            <w:top w:val="none" w:sz="0" w:space="0" w:color="auto"/>
                            <w:left w:val="none" w:sz="0" w:space="0" w:color="auto"/>
                            <w:bottom w:val="none" w:sz="0" w:space="0" w:color="auto"/>
                            <w:right w:val="none" w:sz="0" w:space="0" w:color="auto"/>
                          </w:divBdr>
                          <w:divsChild>
                            <w:div w:id="476730215">
                              <w:marLeft w:val="0"/>
                              <w:marRight w:val="0"/>
                              <w:marTop w:val="0"/>
                              <w:marBottom w:val="0"/>
                              <w:divBdr>
                                <w:top w:val="none" w:sz="0" w:space="0" w:color="auto"/>
                                <w:left w:val="none" w:sz="0" w:space="0" w:color="auto"/>
                                <w:bottom w:val="none" w:sz="0" w:space="0" w:color="auto"/>
                                <w:right w:val="none" w:sz="0" w:space="0" w:color="auto"/>
                              </w:divBdr>
                              <w:divsChild>
                                <w:div w:id="7464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3681">
      <w:bodyDiv w:val="1"/>
      <w:marLeft w:val="0"/>
      <w:marRight w:val="0"/>
      <w:marTop w:val="0"/>
      <w:marBottom w:val="0"/>
      <w:divBdr>
        <w:top w:val="none" w:sz="0" w:space="0" w:color="auto"/>
        <w:left w:val="none" w:sz="0" w:space="0" w:color="auto"/>
        <w:bottom w:val="none" w:sz="0" w:space="0" w:color="auto"/>
        <w:right w:val="none" w:sz="0" w:space="0" w:color="auto"/>
      </w:divBdr>
      <w:divsChild>
        <w:div w:id="51730603">
          <w:marLeft w:val="0"/>
          <w:marRight w:val="0"/>
          <w:marTop w:val="0"/>
          <w:marBottom w:val="0"/>
          <w:divBdr>
            <w:top w:val="none" w:sz="0" w:space="0" w:color="auto"/>
            <w:left w:val="none" w:sz="0" w:space="0" w:color="auto"/>
            <w:bottom w:val="none" w:sz="0" w:space="0" w:color="auto"/>
            <w:right w:val="none" w:sz="0" w:space="0" w:color="auto"/>
          </w:divBdr>
          <w:divsChild>
            <w:div w:id="619193160">
              <w:marLeft w:val="0"/>
              <w:marRight w:val="0"/>
              <w:marTop w:val="0"/>
              <w:marBottom w:val="0"/>
              <w:divBdr>
                <w:top w:val="none" w:sz="0" w:space="0" w:color="auto"/>
                <w:left w:val="none" w:sz="0" w:space="0" w:color="auto"/>
                <w:bottom w:val="none" w:sz="0" w:space="0" w:color="auto"/>
                <w:right w:val="none" w:sz="0" w:space="0" w:color="auto"/>
              </w:divBdr>
              <w:divsChild>
                <w:div w:id="1183858223">
                  <w:marLeft w:val="0"/>
                  <w:marRight w:val="0"/>
                  <w:marTop w:val="0"/>
                  <w:marBottom w:val="0"/>
                  <w:divBdr>
                    <w:top w:val="none" w:sz="0" w:space="0" w:color="auto"/>
                    <w:left w:val="none" w:sz="0" w:space="0" w:color="auto"/>
                    <w:bottom w:val="none" w:sz="0" w:space="0" w:color="auto"/>
                    <w:right w:val="none" w:sz="0" w:space="0" w:color="auto"/>
                  </w:divBdr>
                  <w:divsChild>
                    <w:div w:id="1933590911">
                      <w:marLeft w:val="0"/>
                      <w:marRight w:val="0"/>
                      <w:marTop w:val="0"/>
                      <w:marBottom w:val="0"/>
                      <w:divBdr>
                        <w:top w:val="none" w:sz="0" w:space="0" w:color="auto"/>
                        <w:left w:val="none" w:sz="0" w:space="0" w:color="auto"/>
                        <w:bottom w:val="none" w:sz="0" w:space="0" w:color="auto"/>
                        <w:right w:val="none" w:sz="0" w:space="0" w:color="auto"/>
                      </w:divBdr>
                      <w:divsChild>
                        <w:div w:id="2009940889">
                          <w:marLeft w:val="0"/>
                          <w:marRight w:val="0"/>
                          <w:marTop w:val="0"/>
                          <w:marBottom w:val="0"/>
                          <w:divBdr>
                            <w:top w:val="none" w:sz="0" w:space="0" w:color="auto"/>
                            <w:left w:val="none" w:sz="0" w:space="0" w:color="auto"/>
                            <w:bottom w:val="none" w:sz="0" w:space="0" w:color="auto"/>
                            <w:right w:val="none" w:sz="0" w:space="0" w:color="auto"/>
                          </w:divBdr>
                          <w:divsChild>
                            <w:div w:id="1543903480">
                              <w:marLeft w:val="0"/>
                              <w:marRight w:val="0"/>
                              <w:marTop w:val="0"/>
                              <w:marBottom w:val="0"/>
                              <w:divBdr>
                                <w:top w:val="none" w:sz="0" w:space="0" w:color="auto"/>
                                <w:left w:val="none" w:sz="0" w:space="0" w:color="auto"/>
                                <w:bottom w:val="none" w:sz="0" w:space="0" w:color="auto"/>
                                <w:right w:val="none" w:sz="0" w:space="0" w:color="auto"/>
                              </w:divBdr>
                              <w:divsChild>
                                <w:div w:id="808283186">
                                  <w:marLeft w:val="0"/>
                                  <w:marRight w:val="0"/>
                                  <w:marTop w:val="0"/>
                                  <w:marBottom w:val="0"/>
                                  <w:divBdr>
                                    <w:top w:val="none" w:sz="0" w:space="0" w:color="auto"/>
                                    <w:left w:val="none" w:sz="0" w:space="0" w:color="auto"/>
                                    <w:bottom w:val="none" w:sz="0" w:space="0" w:color="auto"/>
                                    <w:right w:val="none" w:sz="0" w:space="0" w:color="auto"/>
                                  </w:divBdr>
                                  <w:divsChild>
                                    <w:div w:id="993603375">
                                      <w:marLeft w:val="0"/>
                                      <w:marRight w:val="0"/>
                                      <w:marTop w:val="0"/>
                                      <w:marBottom w:val="0"/>
                                      <w:divBdr>
                                        <w:top w:val="none" w:sz="0" w:space="0" w:color="auto"/>
                                        <w:left w:val="none" w:sz="0" w:space="0" w:color="auto"/>
                                        <w:bottom w:val="none" w:sz="0" w:space="0" w:color="auto"/>
                                        <w:right w:val="none" w:sz="0" w:space="0" w:color="auto"/>
                                      </w:divBdr>
                                      <w:divsChild>
                                        <w:div w:id="1246576729">
                                          <w:marLeft w:val="0"/>
                                          <w:marRight w:val="0"/>
                                          <w:marTop w:val="0"/>
                                          <w:marBottom w:val="0"/>
                                          <w:divBdr>
                                            <w:top w:val="none" w:sz="0" w:space="0" w:color="auto"/>
                                            <w:left w:val="none" w:sz="0" w:space="0" w:color="auto"/>
                                            <w:bottom w:val="none" w:sz="0" w:space="0" w:color="auto"/>
                                            <w:right w:val="none" w:sz="0" w:space="0" w:color="auto"/>
                                          </w:divBdr>
                                          <w:divsChild>
                                            <w:div w:id="1870102055">
                                              <w:marLeft w:val="0"/>
                                              <w:marRight w:val="0"/>
                                              <w:marTop w:val="0"/>
                                              <w:marBottom w:val="0"/>
                                              <w:divBdr>
                                                <w:top w:val="none" w:sz="0" w:space="0" w:color="auto"/>
                                                <w:left w:val="none" w:sz="0" w:space="0" w:color="auto"/>
                                                <w:bottom w:val="none" w:sz="0" w:space="0" w:color="auto"/>
                                                <w:right w:val="none" w:sz="0" w:space="0" w:color="auto"/>
                                              </w:divBdr>
                                              <w:divsChild>
                                                <w:div w:id="381178992">
                                                  <w:marLeft w:val="0"/>
                                                  <w:marRight w:val="0"/>
                                                  <w:marTop w:val="0"/>
                                                  <w:marBottom w:val="0"/>
                                                  <w:divBdr>
                                                    <w:top w:val="none" w:sz="0" w:space="0" w:color="auto"/>
                                                    <w:left w:val="none" w:sz="0" w:space="0" w:color="auto"/>
                                                    <w:bottom w:val="none" w:sz="0" w:space="0" w:color="auto"/>
                                                    <w:right w:val="none" w:sz="0" w:space="0" w:color="auto"/>
                                                  </w:divBdr>
                                                  <w:divsChild>
                                                    <w:div w:id="699016872">
                                                      <w:marLeft w:val="0"/>
                                                      <w:marRight w:val="0"/>
                                                      <w:marTop w:val="0"/>
                                                      <w:marBottom w:val="0"/>
                                                      <w:divBdr>
                                                        <w:top w:val="none" w:sz="0" w:space="0" w:color="auto"/>
                                                        <w:left w:val="none" w:sz="0" w:space="0" w:color="auto"/>
                                                        <w:bottom w:val="none" w:sz="0" w:space="0" w:color="auto"/>
                                                        <w:right w:val="none" w:sz="0" w:space="0" w:color="auto"/>
                                                      </w:divBdr>
                                                      <w:divsChild>
                                                        <w:div w:id="1875993054">
                                                          <w:marLeft w:val="0"/>
                                                          <w:marRight w:val="0"/>
                                                          <w:marTop w:val="0"/>
                                                          <w:marBottom w:val="0"/>
                                                          <w:divBdr>
                                                            <w:top w:val="none" w:sz="0" w:space="0" w:color="auto"/>
                                                            <w:left w:val="none" w:sz="0" w:space="0" w:color="auto"/>
                                                            <w:bottom w:val="none" w:sz="0" w:space="0" w:color="auto"/>
                                                            <w:right w:val="none" w:sz="0" w:space="0" w:color="auto"/>
                                                          </w:divBdr>
                                                          <w:divsChild>
                                                            <w:div w:id="41729480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1226898">
      <w:bodyDiv w:val="1"/>
      <w:marLeft w:val="0"/>
      <w:marRight w:val="0"/>
      <w:marTop w:val="0"/>
      <w:marBottom w:val="0"/>
      <w:divBdr>
        <w:top w:val="none" w:sz="0" w:space="0" w:color="auto"/>
        <w:left w:val="none" w:sz="0" w:space="0" w:color="auto"/>
        <w:bottom w:val="none" w:sz="0" w:space="0" w:color="auto"/>
        <w:right w:val="none" w:sz="0" w:space="0" w:color="auto"/>
      </w:divBdr>
      <w:divsChild>
        <w:div w:id="703866320">
          <w:marLeft w:val="547"/>
          <w:marRight w:val="0"/>
          <w:marTop w:val="86"/>
          <w:marBottom w:val="0"/>
          <w:divBdr>
            <w:top w:val="none" w:sz="0" w:space="0" w:color="auto"/>
            <w:left w:val="none" w:sz="0" w:space="0" w:color="auto"/>
            <w:bottom w:val="none" w:sz="0" w:space="0" w:color="auto"/>
            <w:right w:val="none" w:sz="0" w:space="0" w:color="auto"/>
          </w:divBdr>
        </w:div>
      </w:divsChild>
    </w:div>
    <w:div w:id="1419593503">
      <w:bodyDiv w:val="1"/>
      <w:marLeft w:val="0"/>
      <w:marRight w:val="0"/>
      <w:marTop w:val="0"/>
      <w:marBottom w:val="0"/>
      <w:divBdr>
        <w:top w:val="none" w:sz="0" w:space="0" w:color="auto"/>
        <w:left w:val="none" w:sz="0" w:space="0" w:color="auto"/>
        <w:bottom w:val="none" w:sz="0" w:space="0" w:color="auto"/>
        <w:right w:val="none" w:sz="0" w:space="0" w:color="auto"/>
      </w:divBdr>
    </w:div>
    <w:div w:id="1489327649">
      <w:bodyDiv w:val="1"/>
      <w:marLeft w:val="0"/>
      <w:marRight w:val="0"/>
      <w:marTop w:val="0"/>
      <w:marBottom w:val="0"/>
      <w:divBdr>
        <w:top w:val="none" w:sz="0" w:space="0" w:color="auto"/>
        <w:left w:val="none" w:sz="0" w:space="0" w:color="auto"/>
        <w:bottom w:val="none" w:sz="0" w:space="0" w:color="auto"/>
        <w:right w:val="none" w:sz="0" w:space="0" w:color="auto"/>
      </w:divBdr>
    </w:div>
    <w:div w:id="1552837671">
      <w:bodyDiv w:val="1"/>
      <w:marLeft w:val="0"/>
      <w:marRight w:val="0"/>
      <w:marTop w:val="0"/>
      <w:marBottom w:val="0"/>
      <w:divBdr>
        <w:top w:val="none" w:sz="0" w:space="0" w:color="auto"/>
        <w:left w:val="none" w:sz="0" w:space="0" w:color="auto"/>
        <w:bottom w:val="none" w:sz="0" w:space="0" w:color="auto"/>
        <w:right w:val="none" w:sz="0" w:space="0" w:color="auto"/>
      </w:divBdr>
    </w:div>
    <w:div w:id="1556047288">
      <w:bodyDiv w:val="1"/>
      <w:marLeft w:val="0"/>
      <w:marRight w:val="0"/>
      <w:marTop w:val="0"/>
      <w:marBottom w:val="0"/>
      <w:divBdr>
        <w:top w:val="none" w:sz="0" w:space="0" w:color="auto"/>
        <w:left w:val="none" w:sz="0" w:space="0" w:color="auto"/>
        <w:bottom w:val="none" w:sz="0" w:space="0" w:color="auto"/>
        <w:right w:val="none" w:sz="0" w:space="0" w:color="auto"/>
      </w:divBdr>
      <w:divsChild>
        <w:div w:id="1084184201">
          <w:marLeft w:val="0"/>
          <w:marRight w:val="0"/>
          <w:marTop w:val="0"/>
          <w:marBottom w:val="0"/>
          <w:divBdr>
            <w:top w:val="none" w:sz="0" w:space="0" w:color="auto"/>
            <w:left w:val="none" w:sz="0" w:space="0" w:color="auto"/>
            <w:bottom w:val="none" w:sz="0" w:space="0" w:color="auto"/>
            <w:right w:val="none" w:sz="0" w:space="0" w:color="auto"/>
          </w:divBdr>
          <w:divsChild>
            <w:div w:id="354506993">
              <w:marLeft w:val="0"/>
              <w:marRight w:val="0"/>
              <w:marTop w:val="0"/>
              <w:marBottom w:val="0"/>
              <w:divBdr>
                <w:top w:val="none" w:sz="0" w:space="0" w:color="auto"/>
                <w:left w:val="none" w:sz="0" w:space="0" w:color="auto"/>
                <w:bottom w:val="none" w:sz="0" w:space="0" w:color="auto"/>
                <w:right w:val="none" w:sz="0" w:space="0" w:color="auto"/>
              </w:divBdr>
              <w:divsChild>
                <w:div w:id="1307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8115">
      <w:bodyDiv w:val="1"/>
      <w:marLeft w:val="0"/>
      <w:marRight w:val="0"/>
      <w:marTop w:val="0"/>
      <w:marBottom w:val="0"/>
      <w:divBdr>
        <w:top w:val="none" w:sz="0" w:space="0" w:color="auto"/>
        <w:left w:val="none" w:sz="0" w:space="0" w:color="auto"/>
        <w:bottom w:val="none" w:sz="0" w:space="0" w:color="auto"/>
        <w:right w:val="none" w:sz="0" w:space="0" w:color="auto"/>
      </w:divBdr>
    </w:div>
    <w:div w:id="19448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at.dppnet/firstRMS/fullRecord.jsp?recnoListAttr=recnoList&amp;recno=25244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2C0073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uments.dppnet/Library/GDManual/Current/Witness%20Issues.doc" TargetMode="External"/><Relationship Id="rId4" Type="http://schemas.openxmlformats.org/officeDocument/2006/relationships/settings" Target="settings.xml"/><Relationship Id="rId9" Type="http://schemas.openxmlformats.org/officeDocument/2006/relationships/hyperlink" Target="http://libcat.dppnet/firstRMS/fullRecord.jsp?recno=27272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3706-FD01-4804-9179-3E22E7C1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Commonwealth DPP</Company>
  <LinksUpToDate>false</LinksUpToDate>
  <CharactersWithSpaces>27400</CharactersWithSpaces>
  <SharedDoc>false</SharedDoc>
  <HLinks>
    <vt:vector size="90" baseType="variant">
      <vt:variant>
        <vt:i4>7798821</vt:i4>
      </vt:variant>
      <vt:variant>
        <vt:i4>78</vt:i4>
      </vt:variant>
      <vt:variant>
        <vt:i4>0</vt:i4>
      </vt:variant>
      <vt:variant>
        <vt:i4>5</vt:i4>
      </vt:variant>
      <vt:variant>
        <vt:lpwstr>https://www.legislation.gov.au/Details/C2012C00732</vt:lpwstr>
      </vt:variant>
      <vt:variant>
        <vt:lpwstr/>
      </vt:variant>
      <vt:variant>
        <vt:i4>7536761</vt:i4>
      </vt:variant>
      <vt:variant>
        <vt:i4>75</vt:i4>
      </vt:variant>
      <vt:variant>
        <vt:i4>0</vt:i4>
      </vt:variant>
      <vt:variant>
        <vt:i4>5</vt:i4>
      </vt:variant>
      <vt:variant>
        <vt:lpwstr>http://documents.dppnet/Library/GDManual/Current/Witness Issues.doc</vt:lpwstr>
      </vt:variant>
      <vt:variant>
        <vt:lpwstr/>
      </vt:variant>
      <vt:variant>
        <vt:i4>196623</vt:i4>
      </vt:variant>
      <vt:variant>
        <vt:i4>72</vt:i4>
      </vt:variant>
      <vt:variant>
        <vt:i4>0</vt:i4>
      </vt:variant>
      <vt:variant>
        <vt:i4>5</vt:i4>
      </vt:variant>
      <vt:variant>
        <vt:lpwstr>http://libcat.dppnet/firstRMS/fullRecord.jsp?recno=272728</vt:lpwstr>
      </vt:variant>
      <vt:variant>
        <vt:lpwstr/>
      </vt:variant>
      <vt:variant>
        <vt:i4>196608</vt:i4>
      </vt:variant>
      <vt:variant>
        <vt:i4>69</vt:i4>
      </vt:variant>
      <vt:variant>
        <vt:i4>0</vt:i4>
      </vt:variant>
      <vt:variant>
        <vt:i4>5</vt:i4>
      </vt:variant>
      <vt:variant>
        <vt:lpwstr>http://libcat.dppnet/firstRMS/fullRecord.jsp?recnoListAttr=recnoList&amp;recno=252444</vt:lpwstr>
      </vt:variant>
      <vt:variant>
        <vt:lpwstr/>
      </vt:variant>
      <vt:variant>
        <vt:i4>1966143</vt:i4>
      </vt:variant>
      <vt:variant>
        <vt:i4>62</vt:i4>
      </vt:variant>
      <vt:variant>
        <vt:i4>0</vt:i4>
      </vt:variant>
      <vt:variant>
        <vt:i4>5</vt:i4>
      </vt:variant>
      <vt:variant>
        <vt:lpwstr/>
      </vt:variant>
      <vt:variant>
        <vt:lpwstr>_Toc46841823</vt:lpwstr>
      </vt:variant>
      <vt:variant>
        <vt:i4>2031679</vt:i4>
      </vt:variant>
      <vt:variant>
        <vt:i4>56</vt:i4>
      </vt:variant>
      <vt:variant>
        <vt:i4>0</vt:i4>
      </vt:variant>
      <vt:variant>
        <vt:i4>5</vt:i4>
      </vt:variant>
      <vt:variant>
        <vt:lpwstr/>
      </vt:variant>
      <vt:variant>
        <vt:lpwstr>_Toc46841822</vt:lpwstr>
      </vt:variant>
      <vt:variant>
        <vt:i4>1835071</vt:i4>
      </vt:variant>
      <vt:variant>
        <vt:i4>50</vt:i4>
      </vt:variant>
      <vt:variant>
        <vt:i4>0</vt:i4>
      </vt:variant>
      <vt:variant>
        <vt:i4>5</vt:i4>
      </vt:variant>
      <vt:variant>
        <vt:lpwstr/>
      </vt:variant>
      <vt:variant>
        <vt:lpwstr>_Toc46841821</vt:lpwstr>
      </vt:variant>
      <vt:variant>
        <vt:i4>1900607</vt:i4>
      </vt:variant>
      <vt:variant>
        <vt:i4>44</vt:i4>
      </vt:variant>
      <vt:variant>
        <vt:i4>0</vt:i4>
      </vt:variant>
      <vt:variant>
        <vt:i4>5</vt:i4>
      </vt:variant>
      <vt:variant>
        <vt:lpwstr/>
      </vt:variant>
      <vt:variant>
        <vt:lpwstr>_Toc46841820</vt:lpwstr>
      </vt:variant>
      <vt:variant>
        <vt:i4>1310780</vt:i4>
      </vt:variant>
      <vt:variant>
        <vt:i4>38</vt:i4>
      </vt:variant>
      <vt:variant>
        <vt:i4>0</vt:i4>
      </vt:variant>
      <vt:variant>
        <vt:i4>5</vt:i4>
      </vt:variant>
      <vt:variant>
        <vt:lpwstr/>
      </vt:variant>
      <vt:variant>
        <vt:lpwstr>_Toc46841819</vt:lpwstr>
      </vt:variant>
      <vt:variant>
        <vt:i4>1376316</vt:i4>
      </vt:variant>
      <vt:variant>
        <vt:i4>32</vt:i4>
      </vt:variant>
      <vt:variant>
        <vt:i4>0</vt:i4>
      </vt:variant>
      <vt:variant>
        <vt:i4>5</vt:i4>
      </vt:variant>
      <vt:variant>
        <vt:lpwstr/>
      </vt:variant>
      <vt:variant>
        <vt:lpwstr>_Toc46841818</vt:lpwstr>
      </vt:variant>
      <vt:variant>
        <vt:i4>1703996</vt:i4>
      </vt:variant>
      <vt:variant>
        <vt:i4>26</vt:i4>
      </vt:variant>
      <vt:variant>
        <vt:i4>0</vt:i4>
      </vt:variant>
      <vt:variant>
        <vt:i4>5</vt:i4>
      </vt:variant>
      <vt:variant>
        <vt:lpwstr/>
      </vt:variant>
      <vt:variant>
        <vt:lpwstr>_Toc46841817</vt:lpwstr>
      </vt:variant>
      <vt:variant>
        <vt:i4>1769532</vt:i4>
      </vt:variant>
      <vt:variant>
        <vt:i4>20</vt:i4>
      </vt:variant>
      <vt:variant>
        <vt:i4>0</vt:i4>
      </vt:variant>
      <vt:variant>
        <vt:i4>5</vt:i4>
      </vt:variant>
      <vt:variant>
        <vt:lpwstr/>
      </vt:variant>
      <vt:variant>
        <vt:lpwstr>_Toc46841816</vt:lpwstr>
      </vt:variant>
      <vt:variant>
        <vt:i4>1572924</vt:i4>
      </vt:variant>
      <vt:variant>
        <vt:i4>14</vt:i4>
      </vt:variant>
      <vt:variant>
        <vt:i4>0</vt:i4>
      </vt:variant>
      <vt:variant>
        <vt:i4>5</vt:i4>
      </vt:variant>
      <vt:variant>
        <vt:lpwstr/>
      </vt:variant>
      <vt:variant>
        <vt:lpwstr>_Toc46841815</vt:lpwstr>
      </vt:variant>
      <vt:variant>
        <vt:i4>1638460</vt:i4>
      </vt:variant>
      <vt:variant>
        <vt:i4>8</vt:i4>
      </vt:variant>
      <vt:variant>
        <vt:i4>0</vt:i4>
      </vt:variant>
      <vt:variant>
        <vt:i4>5</vt:i4>
      </vt:variant>
      <vt:variant>
        <vt:lpwstr/>
      </vt:variant>
      <vt:variant>
        <vt:lpwstr>_Toc46841814</vt:lpwstr>
      </vt:variant>
      <vt:variant>
        <vt:i4>1966140</vt:i4>
      </vt:variant>
      <vt:variant>
        <vt:i4>2</vt:i4>
      </vt:variant>
      <vt:variant>
        <vt:i4>0</vt:i4>
      </vt:variant>
      <vt:variant>
        <vt:i4>5</vt:i4>
      </vt:variant>
      <vt:variant>
        <vt:lpwstr/>
      </vt:variant>
      <vt:variant>
        <vt:lpwstr>_Toc46841813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Baxter;LBI</dc:creator>
  <cp:keywords>UNCLASSIFIED</cp:keywords>
  <cp:lastModifiedBy>Baxter Emily</cp:lastModifiedBy>
  <cp:revision>4</cp:revision>
  <cp:lastPrinted>2021-09-28T00:11:00Z</cp:lastPrinted>
  <dcterms:created xsi:type="dcterms:W3CDTF">2021-09-27T23:57:00Z</dcterms:created>
  <dcterms:modified xsi:type="dcterms:W3CDTF">2021-09-28T00:11:00Z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UNCLASSIFIED</vt:lpwstr>
  </property>
  <property fmtid="{D5CDD505-2E9C-101B-9397-08002B2CF9AE}" pid="6" name="PM_Originator_Hash_SHA1">
    <vt:lpwstr>942DD1D201FAB1443D92DAB264985D960615AAD9</vt:lpwstr>
  </property>
  <property fmtid="{D5CDD505-2E9C-101B-9397-08002B2CF9AE}" pid="7" name="PM_Hash_Version">
    <vt:lpwstr>2012.2</vt:lpwstr>
  </property>
  <property fmtid="{D5CDD505-2E9C-101B-9397-08002B2CF9AE}" pid="8" name="PM_Hash_Salt">
    <vt:lpwstr>93AFFF9470F9F3507017A1D21DF0C33A</vt:lpwstr>
  </property>
  <property fmtid="{D5CDD505-2E9C-101B-9397-08002B2CF9AE}" pid="9" name="PM_Hash_SHA1">
    <vt:lpwstr>15EF293EE58432E1E4CFE79683FC8550618E4A34</vt:lpwstr>
  </property>
</Properties>
</file>