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4AC11" w14:textId="299AE0FC" w:rsidR="0067786E" w:rsidRDefault="0067786E" w:rsidP="00C91915">
      <w:pPr>
        <w:pStyle w:val="DocumentGroup"/>
        <w:rPr>
          <w:color w:val="BBCF00"/>
        </w:rPr>
      </w:pPr>
      <w:r w:rsidRPr="00684A08">
        <w:rPr>
          <w:b w:val="0"/>
          <w:noProof/>
        </w:rPr>
        <w:drawing>
          <wp:anchor distT="0" distB="0" distL="114300" distR="114300" simplePos="0" relativeHeight="251658240" behindDoc="1" locked="0" layoutInCell="1" allowOverlap="1" wp14:anchorId="5E346149" wp14:editId="3846E4C0">
            <wp:simplePos x="0" y="0"/>
            <wp:positionH relativeFrom="page">
              <wp:posOffset>170815</wp:posOffset>
            </wp:positionH>
            <wp:positionV relativeFrom="page">
              <wp:posOffset>139700</wp:posOffset>
            </wp:positionV>
            <wp:extent cx="7215303" cy="1060450"/>
            <wp:effectExtent l="0" t="0" r="5080" b="6350"/>
            <wp:wrapNone/>
            <wp:docPr id="9" name="Picture 9" descr="HR_L_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L_Hea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5303"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297">
        <w:t>National</w:t>
      </w:r>
      <w:r>
        <w:rPr>
          <w:color w:val="BBCF00"/>
        </w:rPr>
        <w:t xml:space="preserve"> </w:t>
      </w:r>
      <w:r w:rsidRPr="00503297">
        <w:t>Legal Directions</w:t>
      </w:r>
    </w:p>
    <w:p w14:paraId="1E1FA393" w14:textId="45F41583" w:rsidR="0067786E" w:rsidRPr="00503297" w:rsidRDefault="0067786E" w:rsidP="00503297">
      <w:pPr>
        <w:pStyle w:val="BodyText"/>
        <w:spacing w:before="56"/>
        <w:ind w:left="0"/>
        <w:jc w:val="right"/>
        <w:rPr>
          <w:b/>
          <w:bCs/>
          <w:color w:val="BBCF00"/>
          <w:sz w:val="24"/>
          <w:szCs w:val="24"/>
        </w:rPr>
      </w:pPr>
      <w:r w:rsidRPr="00503297">
        <w:rPr>
          <w:b/>
          <w:bCs/>
          <w:color w:val="BBCF00"/>
          <w:sz w:val="24"/>
          <w:szCs w:val="24"/>
        </w:rPr>
        <w:t>Feedback and Complaints</w:t>
      </w:r>
    </w:p>
    <w:p w14:paraId="3E125D91" w14:textId="31BB2702" w:rsidR="005441EA" w:rsidRPr="00C91915" w:rsidRDefault="0035058A" w:rsidP="00503297">
      <w:pPr>
        <w:pStyle w:val="BodyText"/>
        <w:spacing w:before="56"/>
        <w:ind w:left="0"/>
        <w:jc w:val="right"/>
      </w:pPr>
      <w:r w:rsidRPr="00C91915">
        <w:rPr>
          <w:color w:val="BBCF00"/>
        </w:rPr>
        <w:t xml:space="preserve">Last Update: </w:t>
      </w:r>
      <w:r w:rsidR="00AD0B54">
        <w:rPr>
          <w:color w:val="BBCF00"/>
        </w:rPr>
        <w:t>October</w:t>
      </w:r>
      <w:r w:rsidR="00532F0E" w:rsidRPr="00C91915">
        <w:rPr>
          <w:color w:val="BBCF00"/>
        </w:rPr>
        <w:t xml:space="preserve"> </w:t>
      </w:r>
      <w:r w:rsidR="0095107D" w:rsidRPr="00C91915">
        <w:rPr>
          <w:color w:val="BBCF00"/>
        </w:rPr>
        <w:t>2021</w:t>
      </w:r>
    </w:p>
    <w:p w14:paraId="619C6B73" w14:textId="77777777" w:rsidR="005441EA" w:rsidRDefault="005441EA">
      <w:pPr>
        <w:pStyle w:val="BodyText"/>
        <w:spacing w:before="0"/>
        <w:ind w:left="0"/>
      </w:pPr>
    </w:p>
    <w:bookmarkStart w:id="0" w:name="_Toc75856220" w:displacedByCustomXml="next"/>
    <w:sdt>
      <w:sdtPr>
        <w:rPr>
          <w:rFonts w:ascii="Calibri" w:hAnsi="Calibri" w:cs="Calibri"/>
          <w:b w:val="0"/>
          <w:bCs w:val="0"/>
          <w:caps w:val="0"/>
          <w:sz w:val="22"/>
          <w:szCs w:val="22"/>
        </w:rPr>
        <w:id w:val="1025360415"/>
        <w:docPartObj>
          <w:docPartGallery w:val="Table of Contents"/>
          <w:docPartUnique/>
        </w:docPartObj>
      </w:sdtPr>
      <w:sdtEndPr>
        <w:rPr>
          <w:noProof/>
        </w:rPr>
      </w:sdtEndPr>
      <w:sdtContent>
        <w:p w14:paraId="3222E5C2" w14:textId="418FBCCD" w:rsidR="002004D7" w:rsidRPr="0059372F" w:rsidRDefault="00475902">
          <w:pPr>
            <w:pStyle w:val="TOC1"/>
            <w:tabs>
              <w:tab w:val="right" w:leader="dot" w:pos="9632"/>
            </w:tabs>
            <w:rPr>
              <w:rFonts w:eastAsiaTheme="minorEastAsia" w:cstheme="minorBidi"/>
              <w:b w:val="0"/>
              <w:bCs w:val="0"/>
              <w:caps w:val="0"/>
              <w:noProof/>
              <w:sz w:val="24"/>
              <w:szCs w:val="24"/>
              <w:lang w:bidi="ar-SA"/>
            </w:rPr>
          </w:pPr>
          <w:r>
            <w:fldChar w:fldCharType="begin"/>
          </w:r>
          <w:r>
            <w:instrText xml:space="preserve"> TOC \o "1-3" \h \z \u </w:instrText>
          </w:r>
          <w:r>
            <w:fldChar w:fldCharType="separate"/>
          </w:r>
          <w:hyperlink w:anchor="_Toc86059662" w:history="1">
            <w:r w:rsidR="002004D7" w:rsidRPr="0059372F">
              <w:rPr>
                <w:rStyle w:val="Hyperlink"/>
                <w:noProof/>
                <w:sz w:val="22"/>
                <w:szCs w:val="22"/>
                <w:lang w:val="en-US"/>
              </w:rPr>
              <w:t>FEEDBACK AND COMPLAINT HANDLING OVERVIEW</w:t>
            </w:r>
            <w:r w:rsidR="002004D7" w:rsidRPr="0059372F">
              <w:rPr>
                <w:noProof/>
                <w:webHidden/>
                <w:sz w:val="22"/>
                <w:szCs w:val="22"/>
              </w:rPr>
              <w:tab/>
            </w:r>
            <w:r w:rsidR="002004D7" w:rsidRPr="0059372F">
              <w:rPr>
                <w:noProof/>
                <w:webHidden/>
                <w:sz w:val="22"/>
                <w:szCs w:val="22"/>
              </w:rPr>
              <w:fldChar w:fldCharType="begin"/>
            </w:r>
            <w:r w:rsidR="002004D7" w:rsidRPr="0059372F">
              <w:rPr>
                <w:noProof/>
                <w:webHidden/>
                <w:sz w:val="22"/>
                <w:szCs w:val="22"/>
              </w:rPr>
              <w:instrText xml:space="preserve"> PAGEREF _Toc86059662 \h </w:instrText>
            </w:r>
            <w:r w:rsidR="002004D7" w:rsidRPr="0059372F">
              <w:rPr>
                <w:noProof/>
                <w:webHidden/>
                <w:sz w:val="22"/>
                <w:szCs w:val="22"/>
              </w:rPr>
            </w:r>
            <w:r w:rsidR="002004D7" w:rsidRPr="0059372F">
              <w:rPr>
                <w:noProof/>
                <w:webHidden/>
                <w:sz w:val="22"/>
                <w:szCs w:val="22"/>
              </w:rPr>
              <w:fldChar w:fldCharType="separate"/>
            </w:r>
            <w:r w:rsidR="002004D7" w:rsidRPr="0059372F">
              <w:rPr>
                <w:noProof/>
                <w:webHidden/>
                <w:sz w:val="22"/>
                <w:szCs w:val="22"/>
              </w:rPr>
              <w:t>1</w:t>
            </w:r>
            <w:r w:rsidR="002004D7" w:rsidRPr="0059372F">
              <w:rPr>
                <w:noProof/>
                <w:webHidden/>
                <w:sz w:val="22"/>
                <w:szCs w:val="22"/>
              </w:rPr>
              <w:fldChar w:fldCharType="end"/>
            </w:r>
          </w:hyperlink>
        </w:p>
        <w:p w14:paraId="7FD5210F" w14:textId="5A547B27" w:rsidR="002004D7" w:rsidRPr="0059372F" w:rsidRDefault="00490896">
          <w:pPr>
            <w:pStyle w:val="TOC1"/>
            <w:tabs>
              <w:tab w:val="right" w:leader="dot" w:pos="9632"/>
            </w:tabs>
            <w:rPr>
              <w:rFonts w:eastAsiaTheme="minorEastAsia" w:cstheme="minorBidi"/>
              <w:b w:val="0"/>
              <w:bCs w:val="0"/>
              <w:caps w:val="0"/>
              <w:noProof/>
              <w:sz w:val="24"/>
              <w:szCs w:val="24"/>
              <w:lang w:bidi="ar-SA"/>
            </w:rPr>
          </w:pPr>
          <w:hyperlink w:anchor="_Toc86059663" w:history="1">
            <w:r w:rsidR="002004D7" w:rsidRPr="0059372F">
              <w:rPr>
                <w:rStyle w:val="Hyperlink"/>
                <w:noProof/>
                <w:sz w:val="22"/>
                <w:szCs w:val="22"/>
                <w:lang w:val="en-US"/>
              </w:rPr>
              <w:t>COMPLAINTS</w:t>
            </w:r>
            <w:r w:rsidR="002004D7" w:rsidRPr="0059372F">
              <w:rPr>
                <w:noProof/>
                <w:webHidden/>
                <w:sz w:val="22"/>
                <w:szCs w:val="22"/>
              </w:rPr>
              <w:tab/>
            </w:r>
            <w:r w:rsidR="002004D7" w:rsidRPr="0059372F">
              <w:rPr>
                <w:noProof/>
                <w:webHidden/>
                <w:sz w:val="22"/>
                <w:szCs w:val="22"/>
              </w:rPr>
              <w:fldChar w:fldCharType="begin"/>
            </w:r>
            <w:r w:rsidR="002004D7" w:rsidRPr="0059372F">
              <w:rPr>
                <w:noProof/>
                <w:webHidden/>
                <w:sz w:val="22"/>
                <w:szCs w:val="22"/>
              </w:rPr>
              <w:instrText xml:space="preserve"> PAGEREF _Toc86059663 \h </w:instrText>
            </w:r>
            <w:r w:rsidR="002004D7" w:rsidRPr="0059372F">
              <w:rPr>
                <w:noProof/>
                <w:webHidden/>
                <w:sz w:val="22"/>
                <w:szCs w:val="22"/>
              </w:rPr>
            </w:r>
            <w:r w:rsidR="002004D7" w:rsidRPr="0059372F">
              <w:rPr>
                <w:noProof/>
                <w:webHidden/>
                <w:sz w:val="22"/>
                <w:szCs w:val="22"/>
              </w:rPr>
              <w:fldChar w:fldCharType="separate"/>
            </w:r>
            <w:r w:rsidR="002004D7" w:rsidRPr="0059372F">
              <w:rPr>
                <w:noProof/>
                <w:webHidden/>
                <w:sz w:val="22"/>
                <w:szCs w:val="22"/>
              </w:rPr>
              <w:t>2</w:t>
            </w:r>
            <w:r w:rsidR="002004D7" w:rsidRPr="0059372F">
              <w:rPr>
                <w:noProof/>
                <w:webHidden/>
                <w:sz w:val="22"/>
                <w:szCs w:val="22"/>
              </w:rPr>
              <w:fldChar w:fldCharType="end"/>
            </w:r>
          </w:hyperlink>
        </w:p>
        <w:p w14:paraId="2E6237A2" w14:textId="687FAD5B" w:rsidR="002004D7" w:rsidRPr="0059372F" w:rsidRDefault="00490896">
          <w:pPr>
            <w:pStyle w:val="TOC2"/>
            <w:rPr>
              <w:rFonts w:eastAsiaTheme="minorEastAsia" w:cstheme="minorBidi"/>
              <w:smallCaps w:val="0"/>
              <w:noProof/>
              <w:sz w:val="24"/>
              <w:szCs w:val="24"/>
              <w:lang w:bidi="ar-SA"/>
            </w:rPr>
          </w:pPr>
          <w:hyperlink w:anchor="_Toc86059664" w:history="1">
            <w:r w:rsidR="002004D7" w:rsidRPr="0059372F">
              <w:rPr>
                <w:rStyle w:val="Hyperlink"/>
                <w:noProof/>
                <w:sz w:val="22"/>
                <w:szCs w:val="22"/>
                <w:lang w:val="en-US"/>
              </w:rPr>
              <w:t>Complaints made to the Witness Assistance Service (WAS)</w:t>
            </w:r>
            <w:r w:rsidR="002004D7" w:rsidRPr="0059372F">
              <w:rPr>
                <w:noProof/>
                <w:webHidden/>
                <w:sz w:val="22"/>
                <w:szCs w:val="22"/>
              </w:rPr>
              <w:tab/>
            </w:r>
            <w:r w:rsidR="002004D7" w:rsidRPr="0059372F">
              <w:rPr>
                <w:noProof/>
                <w:webHidden/>
                <w:sz w:val="22"/>
                <w:szCs w:val="22"/>
              </w:rPr>
              <w:fldChar w:fldCharType="begin"/>
            </w:r>
            <w:r w:rsidR="002004D7" w:rsidRPr="0059372F">
              <w:rPr>
                <w:noProof/>
                <w:webHidden/>
                <w:sz w:val="22"/>
                <w:szCs w:val="22"/>
              </w:rPr>
              <w:instrText xml:space="preserve"> PAGEREF _Toc86059664 \h </w:instrText>
            </w:r>
            <w:r w:rsidR="002004D7" w:rsidRPr="0059372F">
              <w:rPr>
                <w:noProof/>
                <w:webHidden/>
                <w:sz w:val="22"/>
                <w:szCs w:val="22"/>
              </w:rPr>
            </w:r>
            <w:r w:rsidR="002004D7" w:rsidRPr="0059372F">
              <w:rPr>
                <w:noProof/>
                <w:webHidden/>
                <w:sz w:val="22"/>
                <w:szCs w:val="22"/>
              </w:rPr>
              <w:fldChar w:fldCharType="separate"/>
            </w:r>
            <w:r w:rsidR="002004D7" w:rsidRPr="0059372F">
              <w:rPr>
                <w:noProof/>
                <w:webHidden/>
                <w:sz w:val="22"/>
                <w:szCs w:val="22"/>
              </w:rPr>
              <w:t>2</w:t>
            </w:r>
            <w:r w:rsidR="002004D7" w:rsidRPr="0059372F">
              <w:rPr>
                <w:noProof/>
                <w:webHidden/>
                <w:sz w:val="22"/>
                <w:szCs w:val="22"/>
              </w:rPr>
              <w:fldChar w:fldCharType="end"/>
            </w:r>
          </w:hyperlink>
        </w:p>
        <w:p w14:paraId="08FD0D02" w14:textId="481CFAB4" w:rsidR="002004D7" w:rsidRPr="0059372F" w:rsidRDefault="00490896">
          <w:pPr>
            <w:pStyle w:val="TOC2"/>
            <w:rPr>
              <w:rFonts w:eastAsiaTheme="minorEastAsia" w:cstheme="minorBidi"/>
              <w:smallCaps w:val="0"/>
              <w:noProof/>
              <w:sz w:val="24"/>
              <w:szCs w:val="24"/>
              <w:lang w:bidi="ar-SA"/>
            </w:rPr>
          </w:pPr>
          <w:hyperlink w:anchor="_Toc86059665" w:history="1">
            <w:r w:rsidR="002004D7" w:rsidRPr="0059372F">
              <w:rPr>
                <w:rStyle w:val="Hyperlink"/>
                <w:noProof/>
                <w:sz w:val="22"/>
                <w:szCs w:val="22"/>
                <w:lang w:val="en-US"/>
              </w:rPr>
              <w:t>Complaints made directly to a Practice Group</w:t>
            </w:r>
            <w:r w:rsidR="002004D7" w:rsidRPr="0059372F">
              <w:rPr>
                <w:noProof/>
                <w:webHidden/>
                <w:sz w:val="22"/>
                <w:szCs w:val="22"/>
              </w:rPr>
              <w:tab/>
            </w:r>
            <w:r w:rsidR="002004D7" w:rsidRPr="0059372F">
              <w:rPr>
                <w:noProof/>
                <w:webHidden/>
                <w:sz w:val="22"/>
                <w:szCs w:val="22"/>
              </w:rPr>
              <w:fldChar w:fldCharType="begin"/>
            </w:r>
            <w:r w:rsidR="002004D7" w:rsidRPr="0059372F">
              <w:rPr>
                <w:noProof/>
                <w:webHidden/>
                <w:sz w:val="22"/>
                <w:szCs w:val="22"/>
              </w:rPr>
              <w:instrText xml:space="preserve"> PAGEREF _Toc86059665 \h </w:instrText>
            </w:r>
            <w:r w:rsidR="002004D7" w:rsidRPr="0059372F">
              <w:rPr>
                <w:noProof/>
                <w:webHidden/>
                <w:sz w:val="22"/>
                <w:szCs w:val="22"/>
              </w:rPr>
            </w:r>
            <w:r w:rsidR="002004D7" w:rsidRPr="0059372F">
              <w:rPr>
                <w:noProof/>
                <w:webHidden/>
                <w:sz w:val="22"/>
                <w:szCs w:val="22"/>
              </w:rPr>
              <w:fldChar w:fldCharType="separate"/>
            </w:r>
            <w:r w:rsidR="002004D7" w:rsidRPr="0059372F">
              <w:rPr>
                <w:noProof/>
                <w:webHidden/>
                <w:sz w:val="22"/>
                <w:szCs w:val="22"/>
              </w:rPr>
              <w:t>3</w:t>
            </w:r>
            <w:r w:rsidR="002004D7" w:rsidRPr="0059372F">
              <w:rPr>
                <w:noProof/>
                <w:webHidden/>
                <w:sz w:val="22"/>
                <w:szCs w:val="22"/>
              </w:rPr>
              <w:fldChar w:fldCharType="end"/>
            </w:r>
          </w:hyperlink>
        </w:p>
        <w:p w14:paraId="6EE8C051" w14:textId="49A44FAE" w:rsidR="002004D7" w:rsidRPr="0059372F" w:rsidRDefault="00490896">
          <w:pPr>
            <w:pStyle w:val="TOC2"/>
            <w:rPr>
              <w:rFonts w:eastAsiaTheme="minorEastAsia" w:cstheme="minorBidi"/>
              <w:smallCaps w:val="0"/>
              <w:noProof/>
              <w:sz w:val="24"/>
              <w:szCs w:val="24"/>
              <w:lang w:bidi="ar-SA"/>
            </w:rPr>
          </w:pPr>
          <w:hyperlink w:anchor="_Toc86059666" w:history="1">
            <w:r w:rsidR="002004D7" w:rsidRPr="0059372F">
              <w:rPr>
                <w:rStyle w:val="Hyperlink"/>
                <w:noProof/>
                <w:sz w:val="22"/>
                <w:szCs w:val="22"/>
                <w:lang w:val="en-US"/>
              </w:rPr>
              <w:t>Complaints made to External Bodies</w:t>
            </w:r>
            <w:r w:rsidR="002004D7" w:rsidRPr="0059372F">
              <w:rPr>
                <w:noProof/>
                <w:webHidden/>
                <w:sz w:val="22"/>
                <w:szCs w:val="22"/>
              </w:rPr>
              <w:tab/>
            </w:r>
            <w:r w:rsidR="002004D7" w:rsidRPr="0059372F">
              <w:rPr>
                <w:noProof/>
                <w:webHidden/>
                <w:sz w:val="22"/>
                <w:szCs w:val="22"/>
              </w:rPr>
              <w:fldChar w:fldCharType="begin"/>
            </w:r>
            <w:r w:rsidR="002004D7" w:rsidRPr="0059372F">
              <w:rPr>
                <w:noProof/>
                <w:webHidden/>
                <w:sz w:val="22"/>
                <w:szCs w:val="22"/>
              </w:rPr>
              <w:instrText xml:space="preserve"> PAGEREF _Toc86059666 \h </w:instrText>
            </w:r>
            <w:r w:rsidR="002004D7" w:rsidRPr="0059372F">
              <w:rPr>
                <w:noProof/>
                <w:webHidden/>
                <w:sz w:val="22"/>
                <w:szCs w:val="22"/>
              </w:rPr>
            </w:r>
            <w:r w:rsidR="002004D7" w:rsidRPr="0059372F">
              <w:rPr>
                <w:noProof/>
                <w:webHidden/>
                <w:sz w:val="22"/>
                <w:szCs w:val="22"/>
              </w:rPr>
              <w:fldChar w:fldCharType="separate"/>
            </w:r>
            <w:r w:rsidR="002004D7" w:rsidRPr="0059372F">
              <w:rPr>
                <w:noProof/>
                <w:webHidden/>
                <w:sz w:val="22"/>
                <w:szCs w:val="22"/>
              </w:rPr>
              <w:t>3</w:t>
            </w:r>
            <w:r w:rsidR="002004D7" w:rsidRPr="0059372F">
              <w:rPr>
                <w:noProof/>
                <w:webHidden/>
                <w:sz w:val="22"/>
                <w:szCs w:val="22"/>
              </w:rPr>
              <w:fldChar w:fldCharType="end"/>
            </w:r>
          </w:hyperlink>
        </w:p>
        <w:p w14:paraId="7226E546" w14:textId="38E9C2E4" w:rsidR="002004D7" w:rsidRPr="0059372F" w:rsidRDefault="00490896">
          <w:pPr>
            <w:pStyle w:val="TOC2"/>
            <w:rPr>
              <w:rFonts w:eastAsiaTheme="minorEastAsia" w:cstheme="minorBidi"/>
              <w:smallCaps w:val="0"/>
              <w:noProof/>
              <w:sz w:val="24"/>
              <w:szCs w:val="24"/>
              <w:lang w:bidi="ar-SA"/>
            </w:rPr>
          </w:pPr>
          <w:hyperlink w:anchor="_Toc86059667" w:history="1">
            <w:r w:rsidR="002004D7" w:rsidRPr="0059372F">
              <w:rPr>
                <w:rStyle w:val="Hyperlink"/>
                <w:noProof/>
                <w:sz w:val="22"/>
                <w:szCs w:val="22"/>
                <w:lang w:val="en-US"/>
              </w:rPr>
              <w:t>Sensitive or Significant Complaints</w:t>
            </w:r>
            <w:r w:rsidR="002004D7" w:rsidRPr="0059372F">
              <w:rPr>
                <w:noProof/>
                <w:webHidden/>
                <w:sz w:val="22"/>
                <w:szCs w:val="22"/>
              </w:rPr>
              <w:tab/>
            </w:r>
            <w:r w:rsidR="002004D7" w:rsidRPr="0059372F">
              <w:rPr>
                <w:noProof/>
                <w:webHidden/>
                <w:sz w:val="22"/>
                <w:szCs w:val="22"/>
              </w:rPr>
              <w:fldChar w:fldCharType="begin"/>
            </w:r>
            <w:r w:rsidR="002004D7" w:rsidRPr="0059372F">
              <w:rPr>
                <w:noProof/>
                <w:webHidden/>
                <w:sz w:val="22"/>
                <w:szCs w:val="22"/>
              </w:rPr>
              <w:instrText xml:space="preserve"> PAGEREF _Toc86059667 \h </w:instrText>
            </w:r>
            <w:r w:rsidR="002004D7" w:rsidRPr="0059372F">
              <w:rPr>
                <w:noProof/>
                <w:webHidden/>
                <w:sz w:val="22"/>
                <w:szCs w:val="22"/>
              </w:rPr>
            </w:r>
            <w:r w:rsidR="002004D7" w:rsidRPr="0059372F">
              <w:rPr>
                <w:noProof/>
                <w:webHidden/>
                <w:sz w:val="22"/>
                <w:szCs w:val="22"/>
              </w:rPr>
              <w:fldChar w:fldCharType="separate"/>
            </w:r>
            <w:r w:rsidR="002004D7" w:rsidRPr="0059372F">
              <w:rPr>
                <w:noProof/>
                <w:webHidden/>
                <w:sz w:val="22"/>
                <w:szCs w:val="22"/>
              </w:rPr>
              <w:t>3</w:t>
            </w:r>
            <w:r w:rsidR="002004D7" w:rsidRPr="0059372F">
              <w:rPr>
                <w:noProof/>
                <w:webHidden/>
                <w:sz w:val="22"/>
                <w:szCs w:val="22"/>
              </w:rPr>
              <w:fldChar w:fldCharType="end"/>
            </w:r>
          </w:hyperlink>
        </w:p>
        <w:p w14:paraId="5936A664" w14:textId="3DB4C228" w:rsidR="002004D7" w:rsidRPr="0059372F" w:rsidRDefault="00490896">
          <w:pPr>
            <w:pStyle w:val="TOC2"/>
            <w:rPr>
              <w:rFonts w:eastAsiaTheme="minorEastAsia" w:cstheme="minorBidi"/>
              <w:smallCaps w:val="0"/>
              <w:noProof/>
              <w:sz w:val="24"/>
              <w:szCs w:val="24"/>
              <w:lang w:bidi="ar-SA"/>
            </w:rPr>
          </w:pPr>
          <w:hyperlink w:anchor="_Toc86059668" w:history="1">
            <w:r w:rsidR="002004D7" w:rsidRPr="0059372F">
              <w:rPr>
                <w:rStyle w:val="Hyperlink"/>
                <w:noProof/>
                <w:sz w:val="22"/>
                <w:szCs w:val="22"/>
                <w:lang w:val="en-US"/>
              </w:rPr>
              <w:t>Complaints that Involve Consideration of Paying Compensation for Defective Administration, Making an Ex Gratia or Act of Grace Payment</w:t>
            </w:r>
            <w:r w:rsidR="002004D7" w:rsidRPr="0059372F">
              <w:rPr>
                <w:noProof/>
                <w:webHidden/>
                <w:sz w:val="22"/>
                <w:szCs w:val="22"/>
              </w:rPr>
              <w:tab/>
            </w:r>
            <w:r w:rsidR="002004D7" w:rsidRPr="0059372F">
              <w:rPr>
                <w:noProof/>
                <w:webHidden/>
                <w:sz w:val="22"/>
                <w:szCs w:val="22"/>
              </w:rPr>
              <w:fldChar w:fldCharType="begin"/>
            </w:r>
            <w:r w:rsidR="002004D7" w:rsidRPr="0059372F">
              <w:rPr>
                <w:noProof/>
                <w:webHidden/>
                <w:sz w:val="22"/>
                <w:szCs w:val="22"/>
              </w:rPr>
              <w:instrText xml:space="preserve"> PAGEREF _Toc86059668 \h </w:instrText>
            </w:r>
            <w:r w:rsidR="002004D7" w:rsidRPr="0059372F">
              <w:rPr>
                <w:noProof/>
                <w:webHidden/>
                <w:sz w:val="22"/>
                <w:szCs w:val="22"/>
              </w:rPr>
            </w:r>
            <w:r w:rsidR="002004D7" w:rsidRPr="0059372F">
              <w:rPr>
                <w:noProof/>
                <w:webHidden/>
                <w:sz w:val="22"/>
                <w:szCs w:val="22"/>
              </w:rPr>
              <w:fldChar w:fldCharType="separate"/>
            </w:r>
            <w:r w:rsidR="002004D7" w:rsidRPr="0059372F">
              <w:rPr>
                <w:noProof/>
                <w:webHidden/>
                <w:sz w:val="22"/>
                <w:szCs w:val="22"/>
              </w:rPr>
              <w:t>3</w:t>
            </w:r>
            <w:r w:rsidR="002004D7" w:rsidRPr="0059372F">
              <w:rPr>
                <w:noProof/>
                <w:webHidden/>
                <w:sz w:val="22"/>
                <w:szCs w:val="22"/>
              </w:rPr>
              <w:fldChar w:fldCharType="end"/>
            </w:r>
          </w:hyperlink>
        </w:p>
        <w:p w14:paraId="209A1CD4" w14:textId="74CE0453" w:rsidR="002004D7" w:rsidRPr="0059372F" w:rsidRDefault="00490896">
          <w:pPr>
            <w:pStyle w:val="TOC1"/>
            <w:tabs>
              <w:tab w:val="right" w:leader="dot" w:pos="9632"/>
            </w:tabs>
            <w:rPr>
              <w:rFonts w:eastAsiaTheme="minorEastAsia" w:cstheme="minorBidi"/>
              <w:b w:val="0"/>
              <w:bCs w:val="0"/>
              <w:caps w:val="0"/>
              <w:noProof/>
              <w:sz w:val="24"/>
              <w:szCs w:val="24"/>
              <w:lang w:bidi="ar-SA"/>
            </w:rPr>
          </w:pPr>
          <w:hyperlink w:anchor="_Toc86059669" w:history="1">
            <w:r w:rsidR="002004D7" w:rsidRPr="0059372F">
              <w:rPr>
                <w:rStyle w:val="Hyperlink"/>
                <w:noProof/>
                <w:sz w:val="22"/>
                <w:szCs w:val="22"/>
                <w:lang w:val="en-US"/>
              </w:rPr>
              <w:t>FEEDBACK</w:t>
            </w:r>
            <w:r w:rsidR="002004D7" w:rsidRPr="0059372F">
              <w:rPr>
                <w:noProof/>
                <w:webHidden/>
                <w:sz w:val="22"/>
                <w:szCs w:val="22"/>
              </w:rPr>
              <w:tab/>
            </w:r>
            <w:r w:rsidR="002004D7" w:rsidRPr="0059372F">
              <w:rPr>
                <w:noProof/>
                <w:webHidden/>
                <w:sz w:val="22"/>
                <w:szCs w:val="22"/>
              </w:rPr>
              <w:fldChar w:fldCharType="begin"/>
            </w:r>
            <w:r w:rsidR="002004D7" w:rsidRPr="0059372F">
              <w:rPr>
                <w:noProof/>
                <w:webHidden/>
                <w:sz w:val="22"/>
                <w:szCs w:val="22"/>
              </w:rPr>
              <w:instrText xml:space="preserve"> PAGEREF _Toc86059669 \h </w:instrText>
            </w:r>
            <w:r w:rsidR="002004D7" w:rsidRPr="0059372F">
              <w:rPr>
                <w:noProof/>
                <w:webHidden/>
                <w:sz w:val="22"/>
                <w:szCs w:val="22"/>
              </w:rPr>
            </w:r>
            <w:r w:rsidR="002004D7" w:rsidRPr="0059372F">
              <w:rPr>
                <w:noProof/>
                <w:webHidden/>
                <w:sz w:val="22"/>
                <w:szCs w:val="22"/>
              </w:rPr>
              <w:fldChar w:fldCharType="separate"/>
            </w:r>
            <w:r w:rsidR="002004D7" w:rsidRPr="0059372F">
              <w:rPr>
                <w:noProof/>
                <w:webHidden/>
                <w:sz w:val="22"/>
                <w:szCs w:val="22"/>
              </w:rPr>
              <w:t>3</w:t>
            </w:r>
            <w:r w:rsidR="002004D7" w:rsidRPr="0059372F">
              <w:rPr>
                <w:noProof/>
                <w:webHidden/>
                <w:sz w:val="22"/>
                <w:szCs w:val="22"/>
              </w:rPr>
              <w:fldChar w:fldCharType="end"/>
            </w:r>
          </w:hyperlink>
        </w:p>
        <w:p w14:paraId="5350A3F7" w14:textId="182B0255" w:rsidR="002004D7" w:rsidRPr="0059372F" w:rsidRDefault="00490896">
          <w:pPr>
            <w:pStyle w:val="TOC1"/>
            <w:tabs>
              <w:tab w:val="right" w:leader="dot" w:pos="9632"/>
            </w:tabs>
            <w:rPr>
              <w:rFonts w:eastAsiaTheme="minorEastAsia" w:cstheme="minorBidi"/>
              <w:b w:val="0"/>
              <w:bCs w:val="0"/>
              <w:caps w:val="0"/>
              <w:noProof/>
              <w:sz w:val="24"/>
              <w:szCs w:val="24"/>
              <w:lang w:bidi="ar-SA"/>
            </w:rPr>
          </w:pPr>
          <w:hyperlink w:anchor="_Toc86059670" w:history="1">
            <w:r w:rsidR="002004D7" w:rsidRPr="0059372F">
              <w:rPr>
                <w:rStyle w:val="Hyperlink"/>
                <w:noProof/>
                <w:sz w:val="22"/>
                <w:szCs w:val="22"/>
                <w:lang w:val="en-US"/>
              </w:rPr>
              <w:t>GENERAL ENQUIRIES</w:t>
            </w:r>
            <w:r w:rsidR="002004D7" w:rsidRPr="0059372F">
              <w:rPr>
                <w:noProof/>
                <w:webHidden/>
                <w:sz w:val="22"/>
                <w:szCs w:val="22"/>
              </w:rPr>
              <w:tab/>
            </w:r>
            <w:r w:rsidR="002004D7" w:rsidRPr="0059372F">
              <w:rPr>
                <w:noProof/>
                <w:webHidden/>
                <w:sz w:val="22"/>
                <w:szCs w:val="22"/>
              </w:rPr>
              <w:fldChar w:fldCharType="begin"/>
            </w:r>
            <w:r w:rsidR="002004D7" w:rsidRPr="0059372F">
              <w:rPr>
                <w:noProof/>
                <w:webHidden/>
                <w:sz w:val="22"/>
                <w:szCs w:val="22"/>
              </w:rPr>
              <w:instrText xml:space="preserve"> PAGEREF _Toc86059670 \h </w:instrText>
            </w:r>
            <w:r w:rsidR="002004D7" w:rsidRPr="0059372F">
              <w:rPr>
                <w:noProof/>
                <w:webHidden/>
                <w:sz w:val="22"/>
                <w:szCs w:val="22"/>
              </w:rPr>
            </w:r>
            <w:r w:rsidR="002004D7" w:rsidRPr="0059372F">
              <w:rPr>
                <w:noProof/>
                <w:webHidden/>
                <w:sz w:val="22"/>
                <w:szCs w:val="22"/>
              </w:rPr>
              <w:fldChar w:fldCharType="separate"/>
            </w:r>
            <w:r w:rsidR="002004D7" w:rsidRPr="0059372F">
              <w:rPr>
                <w:noProof/>
                <w:webHidden/>
                <w:sz w:val="22"/>
                <w:szCs w:val="22"/>
              </w:rPr>
              <w:t>4</w:t>
            </w:r>
            <w:r w:rsidR="002004D7" w:rsidRPr="0059372F">
              <w:rPr>
                <w:noProof/>
                <w:webHidden/>
                <w:sz w:val="22"/>
                <w:szCs w:val="22"/>
              </w:rPr>
              <w:fldChar w:fldCharType="end"/>
            </w:r>
          </w:hyperlink>
        </w:p>
        <w:p w14:paraId="57AF2859" w14:textId="7EB401DC" w:rsidR="002004D7" w:rsidRPr="0059372F" w:rsidRDefault="00490896">
          <w:pPr>
            <w:pStyle w:val="TOC1"/>
            <w:tabs>
              <w:tab w:val="right" w:leader="dot" w:pos="9632"/>
            </w:tabs>
            <w:rPr>
              <w:rFonts w:eastAsiaTheme="minorEastAsia" w:cstheme="minorBidi"/>
              <w:b w:val="0"/>
              <w:bCs w:val="0"/>
              <w:caps w:val="0"/>
              <w:noProof/>
              <w:sz w:val="24"/>
              <w:szCs w:val="24"/>
              <w:lang w:bidi="ar-SA"/>
            </w:rPr>
          </w:pPr>
          <w:hyperlink w:anchor="_Toc86059671" w:history="1">
            <w:r w:rsidR="002004D7" w:rsidRPr="0059372F">
              <w:rPr>
                <w:rStyle w:val="Hyperlink"/>
                <w:noProof/>
                <w:sz w:val="22"/>
                <w:szCs w:val="22"/>
                <w:lang w:val="en-US"/>
              </w:rPr>
              <w:t>SECURITY CONCERNS</w:t>
            </w:r>
            <w:r w:rsidR="002004D7" w:rsidRPr="0059372F">
              <w:rPr>
                <w:noProof/>
                <w:webHidden/>
                <w:sz w:val="22"/>
                <w:szCs w:val="22"/>
              </w:rPr>
              <w:tab/>
            </w:r>
            <w:r w:rsidR="002004D7" w:rsidRPr="0059372F">
              <w:rPr>
                <w:noProof/>
                <w:webHidden/>
                <w:sz w:val="22"/>
                <w:szCs w:val="22"/>
              </w:rPr>
              <w:fldChar w:fldCharType="begin"/>
            </w:r>
            <w:r w:rsidR="002004D7" w:rsidRPr="0059372F">
              <w:rPr>
                <w:noProof/>
                <w:webHidden/>
                <w:sz w:val="22"/>
                <w:szCs w:val="22"/>
              </w:rPr>
              <w:instrText xml:space="preserve"> PAGEREF _Toc86059671 \h </w:instrText>
            </w:r>
            <w:r w:rsidR="002004D7" w:rsidRPr="0059372F">
              <w:rPr>
                <w:noProof/>
                <w:webHidden/>
                <w:sz w:val="22"/>
                <w:szCs w:val="22"/>
              </w:rPr>
            </w:r>
            <w:r w:rsidR="002004D7" w:rsidRPr="0059372F">
              <w:rPr>
                <w:noProof/>
                <w:webHidden/>
                <w:sz w:val="22"/>
                <w:szCs w:val="22"/>
              </w:rPr>
              <w:fldChar w:fldCharType="separate"/>
            </w:r>
            <w:r w:rsidR="002004D7" w:rsidRPr="0059372F">
              <w:rPr>
                <w:noProof/>
                <w:webHidden/>
                <w:sz w:val="22"/>
                <w:szCs w:val="22"/>
              </w:rPr>
              <w:t>4</w:t>
            </w:r>
            <w:r w:rsidR="002004D7" w:rsidRPr="0059372F">
              <w:rPr>
                <w:noProof/>
                <w:webHidden/>
                <w:sz w:val="22"/>
                <w:szCs w:val="22"/>
              </w:rPr>
              <w:fldChar w:fldCharType="end"/>
            </w:r>
          </w:hyperlink>
        </w:p>
        <w:p w14:paraId="75ABD491" w14:textId="110B9BD3" w:rsidR="002004D7" w:rsidRPr="0059372F" w:rsidRDefault="00490896">
          <w:pPr>
            <w:pStyle w:val="TOC1"/>
            <w:tabs>
              <w:tab w:val="right" w:leader="dot" w:pos="9632"/>
            </w:tabs>
            <w:rPr>
              <w:rFonts w:eastAsiaTheme="minorEastAsia" w:cstheme="minorBidi"/>
              <w:b w:val="0"/>
              <w:bCs w:val="0"/>
              <w:caps w:val="0"/>
              <w:noProof/>
              <w:sz w:val="24"/>
              <w:szCs w:val="24"/>
              <w:lang w:bidi="ar-SA"/>
            </w:rPr>
          </w:pPr>
          <w:hyperlink w:anchor="_Toc86059672" w:history="1">
            <w:r w:rsidR="002004D7" w:rsidRPr="0059372F">
              <w:rPr>
                <w:rStyle w:val="Hyperlink"/>
                <w:noProof/>
                <w:sz w:val="22"/>
                <w:szCs w:val="22"/>
                <w:lang w:val="en-US"/>
              </w:rPr>
              <w:t>STEPS IN THE PROCESS FOR COMPLAINTS AND FEEDBACK</w:t>
            </w:r>
            <w:r w:rsidR="002004D7" w:rsidRPr="0059372F">
              <w:rPr>
                <w:noProof/>
                <w:webHidden/>
                <w:sz w:val="22"/>
                <w:szCs w:val="22"/>
              </w:rPr>
              <w:tab/>
            </w:r>
            <w:r w:rsidR="002004D7" w:rsidRPr="0059372F">
              <w:rPr>
                <w:noProof/>
                <w:webHidden/>
                <w:sz w:val="22"/>
                <w:szCs w:val="22"/>
              </w:rPr>
              <w:fldChar w:fldCharType="begin"/>
            </w:r>
            <w:r w:rsidR="002004D7" w:rsidRPr="0059372F">
              <w:rPr>
                <w:noProof/>
                <w:webHidden/>
                <w:sz w:val="22"/>
                <w:szCs w:val="22"/>
              </w:rPr>
              <w:instrText xml:space="preserve"> PAGEREF _Toc86059672 \h </w:instrText>
            </w:r>
            <w:r w:rsidR="002004D7" w:rsidRPr="0059372F">
              <w:rPr>
                <w:noProof/>
                <w:webHidden/>
                <w:sz w:val="22"/>
                <w:szCs w:val="22"/>
              </w:rPr>
            </w:r>
            <w:r w:rsidR="002004D7" w:rsidRPr="0059372F">
              <w:rPr>
                <w:noProof/>
                <w:webHidden/>
                <w:sz w:val="22"/>
                <w:szCs w:val="22"/>
              </w:rPr>
              <w:fldChar w:fldCharType="separate"/>
            </w:r>
            <w:r w:rsidR="002004D7" w:rsidRPr="0059372F">
              <w:rPr>
                <w:noProof/>
                <w:webHidden/>
                <w:sz w:val="22"/>
                <w:szCs w:val="22"/>
              </w:rPr>
              <w:t>4</w:t>
            </w:r>
            <w:r w:rsidR="002004D7" w:rsidRPr="0059372F">
              <w:rPr>
                <w:noProof/>
                <w:webHidden/>
                <w:sz w:val="22"/>
                <w:szCs w:val="22"/>
              </w:rPr>
              <w:fldChar w:fldCharType="end"/>
            </w:r>
          </w:hyperlink>
        </w:p>
        <w:p w14:paraId="5C06B0A4" w14:textId="53447F1D" w:rsidR="002004D7" w:rsidRPr="0059372F" w:rsidRDefault="00490896">
          <w:pPr>
            <w:pStyle w:val="TOC2"/>
            <w:rPr>
              <w:rFonts w:eastAsiaTheme="minorEastAsia" w:cstheme="minorBidi"/>
              <w:smallCaps w:val="0"/>
              <w:noProof/>
              <w:sz w:val="24"/>
              <w:szCs w:val="24"/>
              <w:lang w:bidi="ar-SA"/>
            </w:rPr>
          </w:pPr>
          <w:hyperlink w:anchor="_Toc86059673" w:history="1">
            <w:r w:rsidR="002004D7" w:rsidRPr="0059372F">
              <w:rPr>
                <w:rStyle w:val="Hyperlink"/>
                <w:noProof/>
                <w:sz w:val="22"/>
                <w:szCs w:val="22"/>
                <w:lang w:val="en-US"/>
              </w:rPr>
              <w:t>Background</w:t>
            </w:r>
            <w:r w:rsidR="002004D7" w:rsidRPr="0059372F">
              <w:rPr>
                <w:noProof/>
                <w:webHidden/>
                <w:sz w:val="22"/>
                <w:szCs w:val="22"/>
              </w:rPr>
              <w:tab/>
            </w:r>
            <w:r w:rsidR="002004D7" w:rsidRPr="0059372F">
              <w:rPr>
                <w:noProof/>
                <w:webHidden/>
                <w:sz w:val="22"/>
                <w:szCs w:val="22"/>
              </w:rPr>
              <w:fldChar w:fldCharType="begin"/>
            </w:r>
            <w:r w:rsidR="002004D7" w:rsidRPr="0059372F">
              <w:rPr>
                <w:noProof/>
                <w:webHidden/>
                <w:sz w:val="22"/>
                <w:szCs w:val="22"/>
              </w:rPr>
              <w:instrText xml:space="preserve"> PAGEREF _Toc86059673 \h </w:instrText>
            </w:r>
            <w:r w:rsidR="002004D7" w:rsidRPr="0059372F">
              <w:rPr>
                <w:noProof/>
                <w:webHidden/>
                <w:sz w:val="22"/>
                <w:szCs w:val="22"/>
              </w:rPr>
            </w:r>
            <w:r w:rsidR="002004D7" w:rsidRPr="0059372F">
              <w:rPr>
                <w:noProof/>
                <w:webHidden/>
                <w:sz w:val="22"/>
                <w:szCs w:val="22"/>
              </w:rPr>
              <w:fldChar w:fldCharType="separate"/>
            </w:r>
            <w:r w:rsidR="002004D7" w:rsidRPr="0059372F">
              <w:rPr>
                <w:noProof/>
                <w:webHidden/>
                <w:sz w:val="22"/>
                <w:szCs w:val="22"/>
              </w:rPr>
              <w:t>4</w:t>
            </w:r>
            <w:r w:rsidR="002004D7" w:rsidRPr="0059372F">
              <w:rPr>
                <w:noProof/>
                <w:webHidden/>
                <w:sz w:val="22"/>
                <w:szCs w:val="22"/>
              </w:rPr>
              <w:fldChar w:fldCharType="end"/>
            </w:r>
          </w:hyperlink>
        </w:p>
        <w:p w14:paraId="07B36810" w14:textId="5603CBB1" w:rsidR="002004D7" w:rsidRDefault="00490896">
          <w:pPr>
            <w:pStyle w:val="TOC2"/>
            <w:rPr>
              <w:rFonts w:eastAsiaTheme="minorEastAsia" w:cstheme="minorBidi"/>
              <w:smallCaps w:val="0"/>
              <w:noProof/>
              <w:sz w:val="22"/>
              <w:szCs w:val="22"/>
              <w:lang w:bidi="ar-SA"/>
            </w:rPr>
          </w:pPr>
          <w:hyperlink w:anchor="_Toc86059674" w:history="1">
            <w:r w:rsidR="002004D7" w:rsidRPr="004A4C6D">
              <w:rPr>
                <w:rStyle w:val="Hyperlink"/>
                <w:noProof/>
                <w:lang w:val="en-US"/>
              </w:rPr>
              <w:t>Managing Complaints within caseHQ</w:t>
            </w:r>
            <w:r w:rsidR="002004D7">
              <w:rPr>
                <w:noProof/>
                <w:webHidden/>
              </w:rPr>
              <w:tab/>
            </w:r>
            <w:r w:rsidR="002004D7">
              <w:rPr>
                <w:noProof/>
                <w:webHidden/>
              </w:rPr>
              <w:fldChar w:fldCharType="begin"/>
            </w:r>
            <w:r w:rsidR="002004D7">
              <w:rPr>
                <w:noProof/>
                <w:webHidden/>
              </w:rPr>
              <w:instrText xml:space="preserve"> PAGEREF _Toc86059674 \h </w:instrText>
            </w:r>
            <w:r w:rsidR="002004D7">
              <w:rPr>
                <w:noProof/>
                <w:webHidden/>
              </w:rPr>
            </w:r>
            <w:r w:rsidR="002004D7">
              <w:rPr>
                <w:noProof/>
                <w:webHidden/>
              </w:rPr>
              <w:fldChar w:fldCharType="separate"/>
            </w:r>
            <w:r w:rsidR="002004D7">
              <w:rPr>
                <w:noProof/>
                <w:webHidden/>
              </w:rPr>
              <w:t>5</w:t>
            </w:r>
            <w:r w:rsidR="002004D7">
              <w:rPr>
                <w:noProof/>
                <w:webHidden/>
              </w:rPr>
              <w:fldChar w:fldCharType="end"/>
            </w:r>
          </w:hyperlink>
        </w:p>
        <w:p w14:paraId="08ABD12F" w14:textId="36F52E9E" w:rsidR="002004D7" w:rsidRDefault="00490896">
          <w:pPr>
            <w:pStyle w:val="TOC2"/>
            <w:rPr>
              <w:rFonts w:eastAsiaTheme="minorEastAsia" w:cstheme="minorBidi"/>
              <w:smallCaps w:val="0"/>
              <w:noProof/>
              <w:sz w:val="22"/>
              <w:szCs w:val="22"/>
              <w:lang w:bidi="ar-SA"/>
            </w:rPr>
          </w:pPr>
          <w:hyperlink w:anchor="_Toc86059675" w:history="1">
            <w:r w:rsidR="002004D7" w:rsidRPr="004A4C6D">
              <w:rPr>
                <w:rStyle w:val="Hyperlink"/>
                <w:noProof/>
                <w:lang w:val="en-US"/>
              </w:rPr>
              <w:t>Confidentiality of Complaints</w:t>
            </w:r>
            <w:r w:rsidR="002004D7">
              <w:rPr>
                <w:noProof/>
                <w:webHidden/>
              </w:rPr>
              <w:tab/>
            </w:r>
            <w:r w:rsidR="002004D7">
              <w:rPr>
                <w:noProof/>
                <w:webHidden/>
              </w:rPr>
              <w:fldChar w:fldCharType="begin"/>
            </w:r>
            <w:r w:rsidR="002004D7">
              <w:rPr>
                <w:noProof/>
                <w:webHidden/>
              </w:rPr>
              <w:instrText xml:space="preserve"> PAGEREF _Toc86059675 \h </w:instrText>
            </w:r>
            <w:r w:rsidR="002004D7">
              <w:rPr>
                <w:noProof/>
                <w:webHidden/>
              </w:rPr>
            </w:r>
            <w:r w:rsidR="002004D7">
              <w:rPr>
                <w:noProof/>
                <w:webHidden/>
              </w:rPr>
              <w:fldChar w:fldCharType="separate"/>
            </w:r>
            <w:r w:rsidR="002004D7">
              <w:rPr>
                <w:noProof/>
                <w:webHidden/>
              </w:rPr>
              <w:t>5</w:t>
            </w:r>
            <w:r w:rsidR="002004D7">
              <w:rPr>
                <w:noProof/>
                <w:webHidden/>
              </w:rPr>
              <w:fldChar w:fldCharType="end"/>
            </w:r>
          </w:hyperlink>
        </w:p>
        <w:p w14:paraId="4284A15C" w14:textId="15F10950" w:rsidR="002004D7" w:rsidRDefault="00490896">
          <w:pPr>
            <w:pStyle w:val="TOC2"/>
            <w:rPr>
              <w:rFonts w:eastAsiaTheme="minorEastAsia" w:cstheme="minorBidi"/>
              <w:smallCaps w:val="0"/>
              <w:noProof/>
              <w:sz w:val="22"/>
              <w:szCs w:val="22"/>
              <w:lang w:bidi="ar-SA"/>
            </w:rPr>
          </w:pPr>
          <w:hyperlink w:anchor="_Toc86059676" w:history="1">
            <w:r w:rsidR="002004D7" w:rsidRPr="004A4C6D">
              <w:rPr>
                <w:rStyle w:val="Hyperlink"/>
                <w:noProof/>
                <w:lang w:val="en-US"/>
              </w:rPr>
              <w:t>Reflection on CDPP policies or practices</w:t>
            </w:r>
            <w:r w:rsidR="002004D7">
              <w:rPr>
                <w:noProof/>
                <w:webHidden/>
              </w:rPr>
              <w:tab/>
            </w:r>
            <w:r w:rsidR="002004D7">
              <w:rPr>
                <w:noProof/>
                <w:webHidden/>
              </w:rPr>
              <w:fldChar w:fldCharType="begin"/>
            </w:r>
            <w:r w:rsidR="002004D7">
              <w:rPr>
                <w:noProof/>
                <w:webHidden/>
              </w:rPr>
              <w:instrText xml:space="preserve"> PAGEREF _Toc86059676 \h </w:instrText>
            </w:r>
            <w:r w:rsidR="002004D7">
              <w:rPr>
                <w:noProof/>
                <w:webHidden/>
              </w:rPr>
            </w:r>
            <w:r w:rsidR="002004D7">
              <w:rPr>
                <w:noProof/>
                <w:webHidden/>
              </w:rPr>
              <w:fldChar w:fldCharType="separate"/>
            </w:r>
            <w:r w:rsidR="002004D7">
              <w:rPr>
                <w:noProof/>
                <w:webHidden/>
              </w:rPr>
              <w:t>5</w:t>
            </w:r>
            <w:r w:rsidR="002004D7">
              <w:rPr>
                <w:noProof/>
                <w:webHidden/>
              </w:rPr>
              <w:fldChar w:fldCharType="end"/>
            </w:r>
          </w:hyperlink>
        </w:p>
        <w:p w14:paraId="752F237B" w14:textId="74D71417" w:rsidR="002004D7" w:rsidRDefault="00490896">
          <w:pPr>
            <w:pStyle w:val="TOC2"/>
            <w:rPr>
              <w:rFonts w:eastAsiaTheme="minorEastAsia" w:cstheme="minorBidi"/>
              <w:smallCaps w:val="0"/>
              <w:noProof/>
              <w:sz w:val="22"/>
              <w:szCs w:val="22"/>
              <w:lang w:bidi="ar-SA"/>
            </w:rPr>
          </w:pPr>
          <w:hyperlink w:anchor="_Toc86059677" w:history="1">
            <w:r w:rsidR="002004D7" w:rsidRPr="004A4C6D">
              <w:rPr>
                <w:rStyle w:val="Hyperlink"/>
                <w:noProof/>
                <w:lang w:val="en-US"/>
              </w:rPr>
              <w:t>Publication of Complaints Data</w:t>
            </w:r>
            <w:r w:rsidR="002004D7">
              <w:rPr>
                <w:noProof/>
                <w:webHidden/>
              </w:rPr>
              <w:tab/>
            </w:r>
            <w:r w:rsidR="002004D7">
              <w:rPr>
                <w:noProof/>
                <w:webHidden/>
              </w:rPr>
              <w:fldChar w:fldCharType="begin"/>
            </w:r>
            <w:r w:rsidR="002004D7">
              <w:rPr>
                <w:noProof/>
                <w:webHidden/>
              </w:rPr>
              <w:instrText xml:space="preserve"> PAGEREF _Toc86059677 \h </w:instrText>
            </w:r>
            <w:r w:rsidR="002004D7">
              <w:rPr>
                <w:noProof/>
                <w:webHidden/>
              </w:rPr>
            </w:r>
            <w:r w:rsidR="002004D7">
              <w:rPr>
                <w:noProof/>
                <w:webHidden/>
              </w:rPr>
              <w:fldChar w:fldCharType="separate"/>
            </w:r>
            <w:r w:rsidR="002004D7">
              <w:rPr>
                <w:noProof/>
                <w:webHidden/>
              </w:rPr>
              <w:t>6</w:t>
            </w:r>
            <w:r w:rsidR="002004D7">
              <w:rPr>
                <w:noProof/>
                <w:webHidden/>
              </w:rPr>
              <w:fldChar w:fldCharType="end"/>
            </w:r>
          </w:hyperlink>
        </w:p>
        <w:p w14:paraId="294FC359" w14:textId="2C711674" w:rsidR="00475902" w:rsidRDefault="00475902">
          <w:r>
            <w:rPr>
              <w:b/>
              <w:bCs/>
              <w:noProof/>
            </w:rPr>
            <w:fldChar w:fldCharType="end"/>
          </w:r>
        </w:p>
      </w:sdtContent>
    </w:sdt>
    <w:p w14:paraId="0CC5710E" w14:textId="431A41DD" w:rsidR="005441EA" w:rsidRPr="00684A08" w:rsidRDefault="00367AE1" w:rsidP="00C91915">
      <w:pPr>
        <w:pStyle w:val="Heading1Numbered"/>
        <w:numPr>
          <w:ilvl w:val="0"/>
          <w:numId w:val="0"/>
        </w:numPr>
        <w:tabs>
          <w:tab w:val="left" w:pos="6765"/>
        </w:tabs>
        <w:ind w:left="567" w:hanging="567"/>
        <w:rPr>
          <w:lang w:val="en-US"/>
        </w:rPr>
      </w:pPr>
      <w:bookmarkStart w:id="1" w:name="_Toc86059662"/>
      <w:r w:rsidRPr="00684A08">
        <w:rPr>
          <w:lang w:val="en-US"/>
        </w:rPr>
        <w:t>FEEDBACK AND COMPLAINT HANDLING OVERVIEW</w:t>
      </w:r>
      <w:bookmarkEnd w:id="1"/>
      <w:bookmarkEnd w:id="0"/>
      <w:r w:rsidR="00CF796B">
        <w:rPr>
          <w:lang w:val="en-US"/>
        </w:rPr>
        <w:tab/>
      </w:r>
    </w:p>
    <w:p w14:paraId="0D8ED897" w14:textId="77777777" w:rsidR="005441EA" w:rsidRPr="00A436E4" w:rsidRDefault="0035058A" w:rsidP="00684A08">
      <w:pPr>
        <w:pStyle w:val="BodyText"/>
        <w:numPr>
          <w:ilvl w:val="0"/>
          <w:numId w:val="3"/>
        </w:numPr>
        <w:spacing w:before="101" w:after="240"/>
      </w:pPr>
      <w:r w:rsidRPr="00684A08">
        <w:t xml:space="preserve">The Office of the Commonwealth Director of Public Prosecutions (CDPP) contributes to a fair, </w:t>
      </w:r>
      <w:proofErr w:type="gramStart"/>
      <w:r w:rsidRPr="00684A08">
        <w:t>safe</w:t>
      </w:r>
      <w:proofErr w:type="gramEnd"/>
      <w:r w:rsidRPr="00684A08">
        <w:t xml:space="preserve"> and just society</w:t>
      </w:r>
      <w:r w:rsidRPr="00684A08">
        <w:rPr>
          <w:spacing w:val="-8"/>
        </w:rPr>
        <w:t xml:space="preserve"> </w:t>
      </w:r>
      <w:r w:rsidRPr="00684A08">
        <w:t>by</w:t>
      </w:r>
      <w:r w:rsidRPr="00684A08">
        <w:rPr>
          <w:spacing w:val="-7"/>
        </w:rPr>
        <w:t xml:space="preserve"> </w:t>
      </w:r>
      <w:r w:rsidRPr="00684A08">
        <w:t>delivering</w:t>
      </w:r>
      <w:r w:rsidRPr="00684A08">
        <w:rPr>
          <w:spacing w:val="-9"/>
        </w:rPr>
        <w:t xml:space="preserve"> </w:t>
      </w:r>
      <w:r w:rsidRPr="00684A08">
        <w:t>an</w:t>
      </w:r>
      <w:r w:rsidRPr="00684A08">
        <w:rPr>
          <w:spacing w:val="-10"/>
        </w:rPr>
        <w:t xml:space="preserve"> </w:t>
      </w:r>
      <w:r w:rsidRPr="00684A08">
        <w:t>effective,</w:t>
      </w:r>
      <w:r w:rsidRPr="00684A08">
        <w:rPr>
          <w:spacing w:val="-7"/>
        </w:rPr>
        <w:t xml:space="preserve"> </w:t>
      </w:r>
      <w:r w:rsidRPr="00684A08">
        <w:t>independent</w:t>
      </w:r>
      <w:r w:rsidRPr="00684A08">
        <w:rPr>
          <w:spacing w:val="-8"/>
        </w:rPr>
        <w:t xml:space="preserve"> </w:t>
      </w:r>
      <w:r w:rsidRPr="00684A08">
        <w:t>prosecution</w:t>
      </w:r>
      <w:r w:rsidRPr="00684A08">
        <w:rPr>
          <w:spacing w:val="-7"/>
        </w:rPr>
        <w:t xml:space="preserve"> </w:t>
      </w:r>
      <w:r w:rsidRPr="00684A08">
        <w:t>service</w:t>
      </w:r>
      <w:r w:rsidRPr="00684A08">
        <w:rPr>
          <w:spacing w:val="-7"/>
        </w:rPr>
        <w:t xml:space="preserve"> </w:t>
      </w:r>
      <w:r w:rsidRPr="00684A08">
        <w:t>in</w:t>
      </w:r>
      <w:r w:rsidRPr="00684A08">
        <w:rPr>
          <w:spacing w:val="-7"/>
        </w:rPr>
        <w:t xml:space="preserve"> </w:t>
      </w:r>
      <w:r w:rsidRPr="00684A08">
        <w:t>accordance</w:t>
      </w:r>
      <w:r w:rsidRPr="00684A08">
        <w:rPr>
          <w:spacing w:val="-8"/>
        </w:rPr>
        <w:t xml:space="preserve"> </w:t>
      </w:r>
      <w:r w:rsidRPr="00684A08">
        <w:t>with</w:t>
      </w:r>
      <w:r w:rsidRPr="00684A08">
        <w:rPr>
          <w:spacing w:val="-8"/>
        </w:rPr>
        <w:t xml:space="preserve"> </w:t>
      </w:r>
      <w:r w:rsidRPr="00684A08">
        <w:t>the</w:t>
      </w:r>
      <w:r w:rsidRPr="00684A08">
        <w:rPr>
          <w:spacing w:val="-9"/>
        </w:rPr>
        <w:t xml:space="preserve"> </w:t>
      </w:r>
      <w:r w:rsidRPr="00684A08">
        <w:rPr>
          <w:i/>
        </w:rPr>
        <w:t>Prosecution</w:t>
      </w:r>
      <w:r w:rsidRPr="00684A08">
        <w:rPr>
          <w:i/>
          <w:spacing w:val="-9"/>
        </w:rPr>
        <w:t xml:space="preserve"> </w:t>
      </w:r>
      <w:r w:rsidRPr="00684A08">
        <w:rPr>
          <w:i/>
        </w:rPr>
        <w:t>Policy of the</w:t>
      </w:r>
      <w:r w:rsidRPr="00684A08">
        <w:rPr>
          <w:i/>
          <w:spacing w:val="-1"/>
        </w:rPr>
        <w:t xml:space="preserve"> </w:t>
      </w:r>
      <w:r w:rsidRPr="00684A08">
        <w:rPr>
          <w:i/>
        </w:rPr>
        <w:t>Commonwealth</w:t>
      </w:r>
      <w:r w:rsidRPr="00684A08">
        <w:t>.</w:t>
      </w:r>
    </w:p>
    <w:p w14:paraId="3C17DCAB" w14:textId="77777777" w:rsidR="005441EA" w:rsidRPr="00A436E4" w:rsidRDefault="0035058A" w:rsidP="00684A08">
      <w:pPr>
        <w:pStyle w:val="BodyText"/>
        <w:numPr>
          <w:ilvl w:val="0"/>
          <w:numId w:val="3"/>
        </w:numPr>
        <w:spacing w:after="240"/>
      </w:pPr>
      <w:r w:rsidRPr="00684A08">
        <w:t>In performing this role, the CDPP values all feedback and uses what it learns to improve its processes and practices.</w:t>
      </w:r>
    </w:p>
    <w:p w14:paraId="7A794E5B" w14:textId="6E3405CA" w:rsidR="005441EA" w:rsidRPr="00A436E4" w:rsidRDefault="0035058A" w:rsidP="00684A08">
      <w:pPr>
        <w:pStyle w:val="BodyText"/>
        <w:numPr>
          <w:ilvl w:val="0"/>
          <w:numId w:val="3"/>
        </w:numPr>
        <w:spacing w:after="240"/>
      </w:pPr>
      <w:r w:rsidRPr="00684A08">
        <w:t>The CDPP’s Legal Business Improvement area (LBI) is responsible for coordinating the complaint handling process, with ultimate responsibility for co-ordination resting with the Assistant Director, LBI.</w:t>
      </w:r>
      <w:r w:rsidR="0095107D" w:rsidRPr="00684A08">
        <w:t xml:space="preserve"> This is a coordination role only. LBI does not have an active role in the investigation or preparation of response</w:t>
      </w:r>
      <w:r w:rsidR="002E590B">
        <w:t>s</w:t>
      </w:r>
      <w:r w:rsidR="0095107D" w:rsidRPr="00684A08">
        <w:t xml:space="preserve"> arising out of a complaint.</w:t>
      </w:r>
    </w:p>
    <w:p w14:paraId="74641AC3" w14:textId="42C5F072" w:rsidR="0095107D" w:rsidRPr="00A436E4" w:rsidRDefault="0095107D" w:rsidP="00684A08">
      <w:pPr>
        <w:pStyle w:val="BodyText"/>
        <w:numPr>
          <w:ilvl w:val="0"/>
          <w:numId w:val="3"/>
        </w:numPr>
        <w:spacing w:after="240"/>
      </w:pPr>
      <w:r w:rsidRPr="00684A08">
        <w:t xml:space="preserve">Complaints from members of the public, including witnesses, victims, defendants and others may be made to the CDPP via our </w:t>
      </w:r>
      <w:hyperlink r:id="rId9">
        <w:r w:rsidRPr="00C91915">
          <w:rPr>
            <w:rFonts w:asciiTheme="minorHAnsi" w:hAnsiTheme="minorHAnsi" w:cstheme="minorHAnsi"/>
            <w:color w:val="3333FF"/>
            <w:u w:val="single" w:color="3333FF"/>
          </w:rPr>
          <w:t>Feedback and Complaints e-form</w:t>
        </w:r>
        <w:r>
          <w:rPr>
            <w:rFonts w:ascii="Segoe UI"/>
            <w:color w:val="3333FF"/>
            <w:sz w:val="21"/>
          </w:rPr>
          <w:t xml:space="preserve"> </w:t>
        </w:r>
      </w:hyperlink>
      <w:r w:rsidRPr="00684A08">
        <w:t xml:space="preserve">or via email to the Feedback and Complaints inbox </w:t>
      </w:r>
      <w:hyperlink r:id="rId10">
        <w:r w:rsidRPr="00C91915">
          <w:rPr>
            <w:rFonts w:asciiTheme="minorHAnsi" w:hAnsiTheme="minorHAnsi" w:cstheme="minorHAnsi"/>
            <w:color w:val="3333FF"/>
            <w:szCs w:val="24"/>
            <w:u w:val="single" w:color="3333FF"/>
          </w:rPr>
          <w:t>feedbackandcomplaints@cdpp.gov.au</w:t>
        </w:r>
      </w:hyperlink>
      <w:r w:rsidR="00367AE1">
        <w:rPr>
          <w:rFonts w:ascii="Segoe UI"/>
          <w:color w:val="3333FF"/>
          <w:sz w:val="21"/>
          <w:u w:val="single" w:color="3333FF"/>
        </w:rPr>
        <w:t>.</w:t>
      </w:r>
      <w:r w:rsidR="00367AE1" w:rsidRPr="001C3DFD">
        <w:rPr>
          <w:color w:val="404040"/>
        </w:rPr>
        <w:t xml:space="preserve"> </w:t>
      </w:r>
      <w:r w:rsidR="00367AE1" w:rsidRPr="00684A08">
        <w:t>LBI monitors this mailbox.</w:t>
      </w:r>
    </w:p>
    <w:p w14:paraId="4E6DDF85" w14:textId="4FABC613" w:rsidR="00391C90" w:rsidRPr="00684A08" w:rsidRDefault="00391C90" w:rsidP="00391C90">
      <w:pPr>
        <w:pStyle w:val="BodyText"/>
        <w:numPr>
          <w:ilvl w:val="0"/>
          <w:numId w:val="3"/>
        </w:numPr>
        <w:spacing w:after="240"/>
      </w:pPr>
      <w:r w:rsidRPr="00684A08">
        <w:t>LBI will open a non-prosecution file in caseHQ to capture each complaint or feedback received via the Feedback and Complaints inbox. LBI will triage the complaint to determine if it is a</w:t>
      </w:r>
      <w:r w:rsidR="0083469E">
        <w:t>n</w:t>
      </w:r>
      <w:r w:rsidRPr="00684A08">
        <w:t xml:space="preserve"> </w:t>
      </w:r>
      <w:r>
        <w:t>‘</w:t>
      </w:r>
      <w:r w:rsidR="00B531E6">
        <w:t>assessable</w:t>
      </w:r>
      <w:r w:rsidRPr="00684A08">
        <w:t xml:space="preserve"> complaint</w:t>
      </w:r>
      <w:r>
        <w:t xml:space="preserve">’. It is not an assessment of the merits of a complaint, and it does not </w:t>
      </w:r>
      <w:r w:rsidRPr="002E1D51">
        <w:t>automatically follow that a submission that is determined to be a</w:t>
      </w:r>
      <w:r w:rsidR="00294608">
        <w:t>n</w:t>
      </w:r>
      <w:r w:rsidRPr="002E1D51">
        <w:t xml:space="preserve"> ‘</w:t>
      </w:r>
      <w:r w:rsidR="00B531E6">
        <w:t xml:space="preserve">assessable </w:t>
      </w:r>
      <w:r w:rsidRPr="002E1D51">
        <w:t xml:space="preserve">complaint’ will </w:t>
      </w:r>
      <w:r>
        <w:t xml:space="preserve">or must </w:t>
      </w:r>
      <w:r w:rsidRPr="002E1D51">
        <w:t>be investigated</w:t>
      </w:r>
      <w:r w:rsidRPr="00684A08">
        <w:t xml:space="preserve">. </w:t>
      </w:r>
      <w:r>
        <w:t xml:space="preserve"> </w:t>
      </w:r>
      <w:r w:rsidRPr="00684A08">
        <w:t>Where the complaint is a</w:t>
      </w:r>
      <w:r w:rsidR="00B531E6">
        <w:t>n</w:t>
      </w:r>
      <w:r w:rsidRPr="00684A08">
        <w:t xml:space="preserve"> </w:t>
      </w:r>
      <w:r w:rsidR="00B531E6">
        <w:t>assessable</w:t>
      </w:r>
      <w:r w:rsidRPr="00684A08">
        <w:t xml:space="preserve"> complaint</w:t>
      </w:r>
      <w:r>
        <w:t xml:space="preserve"> (that is, a complaint that on its face should be referred to the PGL for investigation), </w:t>
      </w:r>
      <w:r w:rsidRPr="00684A08">
        <w:t xml:space="preserve">LBI will acknowledge receipt within 2 clear business days of the complaint </w:t>
      </w:r>
      <w:r w:rsidRPr="00684A08">
        <w:lastRenderedPageBreak/>
        <w:t xml:space="preserve">being received. LBI will then refer the complaint to the relevant </w:t>
      </w:r>
      <w:r>
        <w:t>PGL</w:t>
      </w:r>
      <w:r w:rsidRPr="00684A08">
        <w:t xml:space="preserve"> or Commonwealth</w:t>
      </w:r>
      <w:r w:rsidRPr="00684A08">
        <w:rPr>
          <w:spacing w:val="-6"/>
        </w:rPr>
        <w:t xml:space="preserve"> </w:t>
      </w:r>
      <w:r w:rsidRPr="00684A08">
        <w:t>Solicitor</w:t>
      </w:r>
      <w:r w:rsidRPr="00684A08">
        <w:rPr>
          <w:spacing w:val="-8"/>
        </w:rPr>
        <w:t xml:space="preserve"> </w:t>
      </w:r>
      <w:r w:rsidRPr="00684A08">
        <w:t>for</w:t>
      </w:r>
      <w:r w:rsidRPr="00684A08">
        <w:rPr>
          <w:spacing w:val="-8"/>
        </w:rPr>
        <w:t xml:space="preserve"> </w:t>
      </w:r>
      <w:r w:rsidRPr="00684A08">
        <w:t>Public</w:t>
      </w:r>
      <w:r w:rsidRPr="00684A08">
        <w:rPr>
          <w:spacing w:val="-5"/>
        </w:rPr>
        <w:t xml:space="preserve"> </w:t>
      </w:r>
      <w:r w:rsidRPr="00684A08">
        <w:t>Prosecutions (CSPP)</w:t>
      </w:r>
      <w:r w:rsidRPr="00684A08">
        <w:rPr>
          <w:spacing w:val="-8"/>
        </w:rPr>
        <w:t xml:space="preserve"> </w:t>
      </w:r>
      <w:r w:rsidRPr="00684A08">
        <w:t xml:space="preserve">to </w:t>
      </w:r>
      <w:r>
        <w:t xml:space="preserve">determine whether to </w:t>
      </w:r>
      <w:proofErr w:type="gramStart"/>
      <w:r w:rsidRPr="00684A08">
        <w:t>conduct an investigation</w:t>
      </w:r>
      <w:proofErr w:type="gramEnd"/>
      <w:r w:rsidRPr="00684A08">
        <w:t>. Further guidance is outlined below.</w:t>
      </w:r>
    </w:p>
    <w:p w14:paraId="29660DA5" w14:textId="3EA613B7" w:rsidR="0095107D" w:rsidRDefault="0095107D" w:rsidP="00684A08">
      <w:pPr>
        <w:pStyle w:val="BodyText"/>
        <w:numPr>
          <w:ilvl w:val="0"/>
          <w:numId w:val="3"/>
        </w:numPr>
        <w:spacing w:after="240"/>
      </w:pPr>
      <w:r w:rsidRPr="00684A08">
        <w:t xml:space="preserve">While the CDPP welcomes enquiries, </w:t>
      </w:r>
      <w:proofErr w:type="gramStart"/>
      <w:r w:rsidRPr="00684A08">
        <w:t>feedback</w:t>
      </w:r>
      <w:proofErr w:type="gramEnd"/>
      <w:r w:rsidRPr="00684A08">
        <w:t xml:space="preserve"> and other interactions with members of the public, those interactions must be respectful. The ‘Contact Us’ page on the CDPP website reminds members of the public that it is a criminal offence to use the phone or email to communicate in a way that a reasonable person would regard as being menacing, harassing or offensive.  </w:t>
      </w:r>
      <w:bookmarkStart w:id="2" w:name="_Hlk64459410"/>
      <w:r w:rsidRPr="00684A08">
        <w:t xml:space="preserve">LBI may choose, in consultation with the relevant </w:t>
      </w:r>
      <w:r w:rsidR="00364CEE" w:rsidRPr="00684A08">
        <w:t>PGL</w:t>
      </w:r>
      <w:r w:rsidRPr="00684A08">
        <w:t xml:space="preserve"> or CSPP where appropriate</w:t>
      </w:r>
      <w:bookmarkEnd w:id="2"/>
      <w:r w:rsidRPr="00684A08">
        <w:t xml:space="preserve">, to </w:t>
      </w:r>
      <w:r w:rsidRPr="00684A08">
        <w:rPr>
          <w:u w:val="single"/>
        </w:rPr>
        <w:t>not</w:t>
      </w:r>
      <w:r w:rsidRPr="00684A08">
        <w:t xml:space="preserve"> </w:t>
      </w:r>
      <w:r w:rsidR="00EE3EFA">
        <w:t>r</w:t>
      </w:r>
      <w:r w:rsidRPr="00684A08">
        <w:t>espond to complaints or feedback of that nature.</w:t>
      </w:r>
    </w:p>
    <w:p w14:paraId="4A9CDFD0" w14:textId="5BCBE1E0" w:rsidR="002925CC" w:rsidRPr="00A436E4" w:rsidRDefault="002925CC" w:rsidP="002925CC">
      <w:pPr>
        <w:pStyle w:val="BodyText"/>
        <w:numPr>
          <w:ilvl w:val="0"/>
          <w:numId w:val="3"/>
        </w:numPr>
        <w:spacing w:before="74" w:after="240"/>
      </w:pPr>
      <w:r>
        <w:t xml:space="preserve">Correspondence is sometimes received from members of the public that on its face may appear to be a complaint but </w:t>
      </w:r>
      <w:r w:rsidR="00E66E28">
        <w:t>could also</w:t>
      </w:r>
      <w:r w:rsidR="00D24703">
        <w:t xml:space="preserve"> be</w:t>
      </w:r>
      <w:r>
        <w:t xml:space="preserve"> commentary or feedback. In these circumstances, t</w:t>
      </w:r>
      <w:r w:rsidRPr="00684A08">
        <w:t xml:space="preserve">he nature of the complainant may determine whether </w:t>
      </w:r>
      <w:r>
        <w:t xml:space="preserve">the </w:t>
      </w:r>
      <w:r w:rsidRPr="00684A08">
        <w:t>correspondence is treated as a complaint (</w:t>
      </w:r>
      <w:proofErr w:type="gramStart"/>
      <w:r w:rsidRPr="00684A08">
        <w:t>e.g.</w:t>
      </w:r>
      <w:proofErr w:type="gramEnd"/>
      <w:r w:rsidRPr="00684A08">
        <w:t xml:space="preserve"> if the complainant is a party to a proceeding such as a defendant or witness) or feedback </w:t>
      </w:r>
      <w:r>
        <w:t>(</w:t>
      </w:r>
      <w:r w:rsidRPr="00684A08">
        <w:t>if the complainant is a member of the public who is not a party to the proceeding).</w:t>
      </w:r>
      <w:r>
        <w:t xml:space="preserve"> </w:t>
      </w:r>
    </w:p>
    <w:p w14:paraId="1ABFE8C7" w14:textId="178BB3EC" w:rsidR="005441EA" w:rsidRPr="00684A08" w:rsidRDefault="00367AE1" w:rsidP="00684A08">
      <w:pPr>
        <w:pStyle w:val="Heading1Numbered"/>
        <w:numPr>
          <w:ilvl w:val="0"/>
          <w:numId w:val="0"/>
        </w:numPr>
        <w:ind w:left="567" w:hanging="567"/>
        <w:rPr>
          <w:lang w:val="en-US"/>
        </w:rPr>
      </w:pPr>
      <w:bookmarkStart w:id="3" w:name="_Toc86059663"/>
      <w:r w:rsidRPr="00684A08">
        <w:rPr>
          <w:lang w:val="en-US"/>
        </w:rPr>
        <w:t>COMPLAINTS</w:t>
      </w:r>
      <w:bookmarkEnd w:id="3"/>
    </w:p>
    <w:p w14:paraId="0593EF32" w14:textId="38749C2E" w:rsidR="005441EA" w:rsidRPr="00A436E4" w:rsidRDefault="0035058A" w:rsidP="00684A08">
      <w:pPr>
        <w:pStyle w:val="BodyText"/>
        <w:numPr>
          <w:ilvl w:val="0"/>
          <w:numId w:val="3"/>
        </w:numPr>
        <w:tabs>
          <w:tab w:val="left" w:pos="10490"/>
        </w:tabs>
        <w:spacing w:before="74" w:after="240"/>
      </w:pPr>
      <w:r w:rsidRPr="00684A08">
        <w:t>A complaint may relate to a particular matter, such as a decision not to proceed with a prosecution</w:t>
      </w:r>
      <w:r w:rsidR="0095107D" w:rsidRPr="00684A08">
        <w:rPr>
          <w:rStyle w:val="FootnoteReference"/>
        </w:rPr>
        <w:footnoteReference w:id="1"/>
      </w:r>
      <w:r w:rsidRPr="00684A08">
        <w:t>, a sentence</w:t>
      </w:r>
      <w:r w:rsidRPr="00684A08">
        <w:rPr>
          <w:spacing w:val="-1"/>
        </w:rPr>
        <w:t xml:space="preserve"> </w:t>
      </w:r>
      <w:r w:rsidRPr="00684A08">
        <w:t>handed</w:t>
      </w:r>
      <w:r w:rsidRPr="00684A08">
        <w:rPr>
          <w:spacing w:val="-3"/>
        </w:rPr>
        <w:t xml:space="preserve"> </w:t>
      </w:r>
      <w:r w:rsidRPr="00684A08">
        <w:t>down</w:t>
      </w:r>
      <w:r w:rsidRPr="00684A08">
        <w:rPr>
          <w:spacing w:val="-3"/>
        </w:rPr>
        <w:t xml:space="preserve"> </w:t>
      </w:r>
      <w:r w:rsidRPr="00684A08">
        <w:t>or</w:t>
      </w:r>
      <w:r w:rsidRPr="00684A08">
        <w:rPr>
          <w:spacing w:val="-6"/>
        </w:rPr>
        <w:t xml:space="preserve"> </w:t>
      </w:r>
      <w:r w:rsidRPr="00684A08">
        <w:t>a</w:t>
      </w:r>
      <w:r w:rsidRPr="00684A08">
        <w:rPr>
          <w:spacing w:val="-1"/>
        </w:rPr>
        <w:t xml:space="preserve"> </w:t>
      </w:r>
      <w:r w:rsidRPr="00684A08">
        <w:t>decision</w:t>
      </w:r>
      <w:r w:rsidRPr="00684A08">
        <w:rPr>
          <w:spacing w:val="-5"/>
        </w:rPr>
        <w:t xml:space="preserve"> </w:t>
      </w:r>
      <w:r w:rsidRPr="00684A08">
        <w:t>not</w:t>
      </w:r>
      <w:r w:rsidRPr="00684A08">
        <w:rPr>
          <w:spacing w:val="-3"/>
        </w:rPr>
        <w:t xml:space="preserve"> </w:t>
      </w:r>
      <w:r w:rsidRPr="00684A08">
        <w:t>to</w:t>
      </w:r>
      <w:r w:rsidRPr="00684A08">
        <w:rPr>
          <w:spacing w:val="-3"/>
        </w:rPr>
        <w:t xml:space="preserve"> </w:t>
      </w:r>
      <w:r w:rsidRPr="00684A08">
        <w:t>appeal. It</w:t>
      </w:r>
      <w:r w:rsidRPr="00684A08">
        <w:rPr>
          <w:spacing w:val="-3"/>
        </w:rPr>
        <w:t xml:space="preserve"> </w:t>
      </w:r>
      <w:r w:rsidRPr="00684A08">
        <w:t>may</w:t>
      </w:r>
      <w:r w:rsidRPr="00684A08">
        <w:rPr>
          <w:spacing w:val="-3"/>
        </w:rPr>
        <w:t xml:space="preserve"> </w:t>
      </w:r>
      <w:r w:rsidRPr="00684A08">
        <w:t>also</w:t>
      </w:r>
      <w:r w:rsidRPr="00684A08">
        <w:rPr>
          <w:spacing w:val="-3"/>
        </w:rPr>
        <w:t xml:space="preserve"> </w:t>
      </w:r>
      <w:r w:rsidRPr="00684A08">
        <w:t>relate</w:t>
      </w:r>
      <w:r w:rsidRPr="00684A08">
        <w:rPr>
          <w:spacing w:val="-3"/>
        </w:rPr>
        <w:t xml:space="preserve"> </w:t>
      </w:r>
      <w:r w:rsidRPr="00684A08">
        <w:t>to</w:t>
      </w:r>
      <w:r w:rsidRPr="00684A08">
        <w:rPr>
          <w:spacing w:val="-2"/>
        </w:rPr>
        <w:t xml:space="preserve"> </w:t>
      </w:r>
      <w:r w:rsidRPr="00684A08">
        <w:t>the</w:t>
      </w:r>
      <w:r w:rsidRPr="00684A08">
        <w:rPr>
          <w:spacing w:val="-3"/>
        </w:rPr>
        <w:t xml:space="preserve"> </w:t>
      </w:r>
      <w:r w:rsidRPr="00684A08">
        <w:t>conduct</w:t>
      </w:r>
      <w:r w:rsidRPr="00684A08">
        <w:rPr>
          <w:spacing w:val="-3"/>
        </w:rPr>
        <w:t xml:space="preserve"> </w:t>
      </w:r>
      <w:r w:rsidRPr="00684A08">
        <w:t>of</w:t>
      </w:r>
      <w:r w:rsidRPr="00684A08">
        <w:rPr>
          <w:spacing w:val="-3"/>
        </w:rPr>
        <w:t xml:space="preserve"> </w:t>
      </w:r>
      <w:r w:rsidRPr="00684A08">
        <w:t>CDPP</w:t>
      </w:r>
      <w:r w:rsidRPr="00684A08">
        <w:rPr>
          <w:spacing w:val="-3"/>
        </w:rPr>
        <w:t xml:space="preserve"> </w:t>
      </w:r>
      <w:r w:rsidRPr="00684A08">
        <w:t>staff,</w:t>
      </w:r>
      <w:r w:rsidRPr="00684A08">
        <w:rPr>
          <w:spacing w:val="-4"/>
        </w:rPr>
        <w:t xml:space="preserve"> </w:t>
      </w:r>
      <w:r w:rsidRPr="00684A08">
        <w:t>including prosecutors, witness assistance service officers, administrative staff or members of the Bar briefed by the CDPP in a particular</w:t>
      </w:r>
      <w:r w:rsidRPr="00684A08">
        <w:rPr>
          <w:spacing w:val="-6"/>
        </w:rPr>
        <w:t xml:space="preserve"> </w:t>
      </w:r>
      <w:r w:rsidRPr="00684A08">
        <w:t>case.</w:t>
      </w:r>
    </w:p>
    <w:p w14:paraId="174BFE6C" w14:textId="53796CE1" w:rsidR="005441EA" w:rsidRPr="00A436E4" w:rsidRDefault="0035058A" w:rsidP="00684A08">
      <w:pPr>
        <w:pStyle w:val="BodyText"/>
        <w:numPr>
          <w:ilvl w:val="0"/>
          <w:numId w:val="3"/>
        </w:numPr>
        <w:spacing w:before="100"/>
      </w:pPr>
      <w:r w:rsidRPr="00684A08">
        <w:t>The CDPP encourages complainants to provide as much specific detail about the matter as they can, including:</w:t>
      </w:r>
    </w:p>
    <w:p w14:paraId="596C43FC" w14:textId="77777777" w:rsidR="005441EA" w:rsidRPr="0067786E" w:rsidRDefault="0035058A" w:rsidP="00684A08">
      <w:pPr>
        <w:pStyle w:val="ListParagraph"/>
        <w:numPr>
          <w:ilvl w:val="0"/>
          <w:numId w:val="9"/>
        </w:numPr>
        <w:tabs>
          <w:tab w:val="left" w:pos="1217"/>
        </w:tabs>
        <w:spacing w:before="99"/>
      </w:pPr>
      <w:r w:rsidRPr="00A436E4">
        <w:t>details of the decision/case/issue/incident, including a CDPP file number (if</w:t>
      </w:r>
      <w:r w:rsidRPr="00A436E4">
        <w:rPr>
          <w:spacing w:val="-15"/>
        </w:rPr>
        <w:t xml:space="preserve"> </w:t>
      </w:r>
      <w:r w:rsidRPr="00A436E4">
        <w:t>known)</w:t>
      </w:r>
    </w:p>
    <w:p w14:paraId="2978F0B7" w14:textId="77777777" w:rsidR="005441EA" w:rsidRPr="0067786E" w:rsidRDefault="0035058A" w:rsidP="00684A08">
      <w:pPr>
        <w:pStyle w:val="ListParagraph"/>
        <w:numPr>
          <w:ilvl w:val="0"/>
          <w:numId w:val="9"/>
        </w:numPr>
        <w:tabs>
          <w:tab w:val="left" w:pos="1217"/>
        </w:tabs>
        <w:spacing w:before="99"/>
      </w:pPr>
      <w:r w:rsidRPr="0067786E">
        <w:t>details of what the complaint is</w:t>
      </w:r>
      <w:r w:rsidRPr="0067786E">
        <w:rPr>
          <w:spacing w:val="-6"/>
        </w:rPr>
        <w:t xml:space="preserve"> </w:t>
      </w:r>
      <w:r w:rsidRPr="0067786E">
        <w:t>about</w:t>
      </w:r>
    </w:p>
    <w:p w14:paraId="1FB771FA" w14:textId="77777777" w:rsidR="005441EA" w:rsidRPr="00684A08" w:rsidRDefault="0035058A" w:rsidP="00684A08">
      <w:pPr>
        <w:pStyle w:val="ListParagraph"/>
        <w:numPr>
          <w:ilvl w:val="0"/>
          <w:numId w:val="9"/>
        </w:numPr>
        <w:tabs>
          <w:tab w:val="left" w:pos="1217"/>
        </w:tabs>
        <w:spacing w:before="102"/>
      </w:pPr>
      <w:r w:rsidRPr="003B6939">
        <w:t>details of who was</w:t>
      </w:r>
      <w:r w:rsidRPr="003B6939">
        <w:rPr>
          <w:spacing w:val="-4"/>
        </w:rPr>
        <w:t xml:space="preserve"> </w:t>
      </w:r>
      <w:r w:rsidRPr="00684A08">
        <w:t>involved</w:t>
      </w:r>
    </w:p>
    <w:p w14:paraId="5B9C40F6" w14:textId="77777777" w:rsidR="005441EA" w:rsidRPr="00684A08" w:rsidRDefault="0035058A" w:rsidP="00684A08">
      <w:pPr>
        <w:pStyle w:val="ListParagraph"/>
        <w:numPr>
          <w:ilvl w:val="0"/>
          <w:numId w:val="9"/>
        </w:numPr>
        <w:tabs>
          <w:tab w:val="left" w:pos="1217"/>
        </w:tabs>
        <w:spacing w:before="99"/>
      </w:pPr>
      <w:r w:rsidRPr="00684A08">
        <w:t>details of the outcome or action the complainant is seeking to resolve their</w:t>
      </w:r>
      <w:r w:rsidRPr="00684A08">
        <w:rPr>
          <w:spacing w:val="-12"/>
        </w:rPr>
        <w:t xml:space="preserve"> </w:t>
      </w:r>
      <w:r w:rsidRPr="00684A08">
        <w:t>complaint.</w:t>
      </w:r>
    </w:p>
    <w:p w14:paraId="0CEF97E5" w14:textId="77777777" w:rsidR="00D208CF" w:rsidRPr="00684A08" w:rsidRDefault="00D208CF" w:rsidP="00684A08"/>
    <w:p w14:paraId="01407E1E" w14:textId="77777777" w:rsidR="005441EA" w:rsidRPr="00A436E4" w:rsidRDefault="0035058A" w:rsidP="00684A08">
      <w:pPr>
        <w:pStyle w:val="BodyText"/>
        <w:numPr>
          <w:ilvl w:val="0"/>
          <w:numId w:val="3"/>
        </w:numPr>
        <w:spacing w:before="56" w:after="240"/>
      </w:pPr>
      <w:r w:rsidRPr="00684A08">
        <w:t>All complaints received will be considered:</w:t>
      </w:r>
    </w:p>
    <w:p w14:paraId="2232F6CE" w14:textId="77777777" w:rsidR="005441EA" w:rsidRPr="00A436E4" w:rsidRDefault="0035058A" w:rsidP="00684A08">
      <w:pPr>
        <w:pStyle w:val="ListParagraph"/>
        <w:numPr>
          <w:ilvl w:val="0"/>
          <w:numId w:val="8"/>
        </w:numPr>
        <w:tabs>
          <w:tab w:val="left" w:pos="1217"/>
        </w:tabs>
        <w:spacing w:before="0"/>
      </w:pPr>
      <w:r w:rsidRPr="00A436E4">
        <w:t>confidentially</w:t>
      </w:r>
    </w:p>
    <w:p w14:paraId="1832EF44" w14:textId="77777777" w:rsidR="005441EA" w:rsidRPr="0067786E" w:rsidRDefault="0035058A" w:rsidP="00684A08">
      <w:pPr>
        <w:pStyle w:val="ListParagraph"/>
        <w:numPr>
          <w:ilvl w:val="0"/>
          <w:numId w:val="8"/>
        </w:numPr>
        <w:tabs>
          <w:tab w:val="left" w:pos="1217"/>
        </w:tabs>
        <w:spacing w:before="99"/>
      </w:pPr>
      <w:r w:rsidRPr="00A436E4">
        <w:t>quickly</w:t>
      </w:r>
    </w:p>
    <w:p w14:paraId="7511CC0B" w14:textId="77777777" w:rsidR="005441EA" w:rsidRPr="0067786E" w:rsidRDefault="0035058A" w:rsidP="00684A08">
      <w:pPr>
        <w:pStyle w:val="ListParagraph"/>
        <w:numPr>
          <w:ilvl w:val="0"/>
          <w:numId w:val="8"/>
        </w:numPr>
        <w:tabs>
          <w:tab w:val="left" w:pos="1217"/>
        </w:tabs>
        <w:spacing w:before="102"/>
      </w:pPr>
      <w:r w:rsidRPr="0067786E">
        <w:t>impartially</w:t>
      </w:r>
    </w:p>
    <w:p w14:paraId="46CDBD5E" w14:textId="4CEE0598" w:rsidR="005441EA" w:rsidRPr="0067786E" w:rsidRDefault="004966C9" w:rsidP="00684A08">
      <w:pPr>
        <w:pStyle w:val="ListParagraph"/>
        <w:numPr>
          <w:ilvl w:val="0"/>
          <w:numId w:val="8"/>
        </w:numPr>
        <w:tabs>
          <w:tab w:val="left" w:pos="1217"/>
        </w:tabs>
        <w:spacing w:before="98" w:after="240"/>
      </w:pPr>
      <w:r>
        <w:t>in accordance with the procedures set out in this NLD</w:t>
      </w:r>
      <w:r w:rsidR="0035058A" w:rsidRPr="0067786E">
        <w:t>.</w:t>
      </w:r>
    </w:p>
    <w:p w14:paraId="5DE688A7" w14:textId="77777777" w:rsidR="005441EA" w:rsidRPr="00A436E4" w:rsidRDefault="0035058A" w:rsidP="00684A08">
      <w:pPr>
        <w:pStyle w:val="BodyText"/>
        <w:numPr>
          <w:ilvl w:val="0"/>
          <w:numId w:val="3"/>
        </w:numPr>
        <w:spacing w:before="56" w:after="240"/>
      </w:pPr>
      <w:r w:rsidRPr="00684A08">
        <w:t>When a complaint is received, an acknowledgment is sent to the complainant within two business days, setting out, in plain English:</w:t>
      </w:r>
    </w:p>
    <w:p w14:paraId="70154FC6" w14:textId="77777777" w:rsidR="005441EA" w:rsidRPr="0067786E" w:rsidRDefault="0035058A" w:rsidP="00684A08">
      <w:pPr>
        <w:pStyle w:val="ListParagraph"/>
        <w:numPr>
          <w:ilvl w:val="0"/>
          <w:numId w:val="10"/>
        </w:numPr>
        <w:tabs>
          <w:tab w:val="left" w:pos="1217"/>
        </w:tabs>
        <w:spacing w:before="0"/>
      </w:pPr>
      <w:r w:rsidRPr="00A436E4">
        <w:t>an acknowledgment of</w:t>
      </w:r>
      <w:r w:rsidRPr="00A436E4">
        <w:rPr>
          <w:spacing w:val="-4"/>
        </w:rPr>
        <w:t xml:space="preserve"> </w:t>
      </w:r>
      <w:r w:rsidRPr="00A436E4">
        <w:t>receipt</w:t>
      </w:r>
    </w:p>
    <w:p w14:paraId="7CA2485A" w14:textId="62596E16" w:rsidR="005441EA" w:rsidRPr="00684A08" w:rsidRDefault="0035058A" w:rsidP="00684A08">
      <w:pPr>
        <w:pStyle w:val="ListParagraph"/>
        <w:numPr>
          <w:ilvl w:val="0"/>
          <w:numId w:val="10"/>
        </w:numPr>
        <w:tabs>
          <w:tab w:val="left" w:pos="1217"/>
        </w:tabs>
      </w:pPr>
      <w:r w:rsidRPr="0067786E">
        <w:t xml:space="preserve">advise that the complaint has been referred to a particular person, </w:t>
      </w:r>
      <w:proofErr w:type="gramStart"/>
      <w:r w:rsidRPr="0067786E">
        <w:t>e.g.</w:t>
      </w:r>
      <w:proofErr w:type="gramEnd"/>
      <w:r w:rsidRPr="0067786E">
        <w:t xml:space="preserve"> Practice Group Leader</w:t>
      </w:r>
      <w:r w:rsidRPr="0067786E">
        <w:rPr>
          <w:spacing w:val="-12"/>
        </w:rPr>
        <w:t xml:space="preserve"> </w:t>
      </w:r>
    </w:p>
    <w:p w14:paraId="01969B79" w14:textId="3CACF3C3" w:rsidR="0095107D" w:rsidRPr="00E4641F" w:rsidRDefault="0095107D" w:rsidP="00E4641F">
      <w:pPr>
        <w:pStyle w:val="Heading2"/>
        <w:rPr>
          <w:lang w:val="en-US"/>
        </w:rPr>
      </w:pPr>
      <w:bookmarkStart w:id="4" w:name="_Toc75856221"/>
      <w:bookmarkStart w:id="5" w:name="_Toc86059664"/>
      <w:r w:rsidRPr="00E4641F">
        <w:rPr>
          <w:lang w:val="en-US"/>
        </w:rPr>
        <w:t>Complaints made to the Witness Assistance Service (WAS)</w:t>
      </w:r>
      <w:bookmarkEnd w:id="4"/>
      <w:bookmarkEnd w:id="5"/>
    </w:p>
    <w:p w14:paraId="09D71141" w14:textId="0764BC96" w:rsidR="0095107D" w:rsidRPr="00E4641F" w:rsidRDefault="0095107D" w:rsidP="00E4641F">
      <w:pPr>
        <w:pStyle w:val="BodyText"/>
        <w:numPr>
          <w:ilvl w:val="0"/>
          <w:numId w:val="3"/>
        </w:numPr>
        <w:spacing w:before="101" w:after="240"/>
        <w:rPr>
          <w:bCs/>
          <w:iCs/>
        </w:rPr>
      </w:pPr>
      <w:r w:rsidRPr="00E4641F">
        <w:rPr>
          <w:bCs/>
          <w:iCs/>
        </w:rPr>
        <w:t xml:space="preserve">Witnesses and victims referred to WAS are advised by WAS of their ability to provide feedback or make </w:t>
      </w:r>
      <w:r w:rsidRPr="00E4641F">
        <w:rPr>
          <w:bCs/>
          <w:iCs/>
        </w:rPr>
        <w:lastRenderedPageBreak/>
        <w:t>complaints. WAS template letters direct these witnesses and victims to the CDPP website to ensure that they are aware as early as possible of the opportunity to provide feedback and make complaints.</w:t>
      </w:r>
    </w:p>
    <w:p w14:paraId="1ABDA91B" w14:textId="4D45F4AF" w:rsidR="0095107D" w:rsidRPr="00E4641F" w:rsidRDefault="0095107D" w:rsidP="00E4641F">
      <w:pPr>
        <w:pStyle w:val="BodyText"/>
        <w:numPr>
          <w:ilvl w:val="0"/>
          <w:numId w:val="3"/>
        </w:numPr>
        <w:spacing w:before="101" w:after="240"/>
        <w:rPr>
          <w:bCs/>
          <w:iCs/>
        </w:rPr>
      </w:pPr>
      <w:r w:rsidRPr="00E4641F">
        <w:rPr>
          <w:bCs/>
          <w:iCs/>
        </w:rPr>
        <w:t>At the conclusion of a matter, WAS also sends a feedback form to these witness</w:t>
      </w:r>
      <w:r w:rsidR="00615594">
        <w:rPr>
          <w:bCs/>
          <w:iCs/>
        </w:rPr>
        <w:t>es</w:t>
      </w:r>
      <w:r w:rsidRPr="00E4641F">
        <w:rPr>
          <w:bCs/>
          <w:iCs/>
        </w:rPr>
        <w:t xml:space="preserve"> and victims. Where the feedback form is returned and contains a complaint, it will be forwarded to LBI to co-ordinate the complaint handling process.</w:t>
      </w:r>
    </w:p>
    <w:p w14:paraId="790D4284" w14:textId="1EA6680B" w:rsidR="0095107D" w:rsidRPr="00E4641F" w:rsidRDefault="0095107D" w:rsidP="00E4641F">
      <w:pPr>
        <w:pStyle w:val="BodyText"/>
        <w:numPr>
          <w:ilvl w:val="0"/>
          <w:numId w:val="3"/>
        </w:numPr>
        <w:spacing w:before="101" w:after="240"/>
        <w:rPr>
          <w:bCs/>
          <w:iCs/>
          <w:color w:val="404040"/>
        </w:rPr>
      </w:pPr>
      <w:r w:rsidRPr="00E4641F">
        <w:rPr>
          <w:bCs/>
          <w:iCs/>
        </w:rPr>
        <w:t>WAS do not work with all victims and witnesses involved in matters prosecuted by the Office. CDPP lawyers are responsible for ensuring that the Office meets its policy obligations as set out in the Victims of Crime Policy and the Prosecution Policy, and this includes advising victims and witnesses of their ability to provide feedback or make complaints via the CDPP website.</w:t>
      </w:r>
    </w:p>
    <w:p w14:paraId="7A29CA53" w14:textId="25C1EFDA" w:rsidR="004966C9" w:rsidRDefault="004966C9" w:rsidP="00E4641F">
      <w:pPr>
        <w:pStyle w:val="Heading2"/>
        <w:rPr>
          <w:lang w:val="en-US"/>
        </w:rPr>
      </w:pPr>
      <w:bookmarkStart w:id="6" w:name="_Toc86059665"/>
      <w:bookmarkStart w:id="7" w:name="_Toc75856222"/>
      <w:r>
        <w:rPr>
          <w:lang w:val="en-US"/>
        </w:rPr>
        <w:t>Complaints made directly to a Practice Group</w:t>
      </w:r>
      <w:bookmarkEnd w:id="6"/>
    </w:p>
    <w:p w14:paraId="7A237CA3" w14:textId="432C2990" w:rsidR="004966C9" w:rsidRPr="00A436E4" w:rsidRDefault="004966C9" w:rsidP="004966C9">
      <w:pPr>
        <w:pStyle w:val="BodyText"/>
        <w:numPr>
          <w:ilvl w:val="0"/>
          <w:numId w:val="3"/>
        </w:numPr>
        <w:spacing w:after="240"/>
      </w:pPr>
      <w:r w:rsidRPr="00A436E4">
        <w:t xml:space="preserve">Complaints are sometimes made directly to a Practice Group. Where the </w:t>
      </w:r>
      <w:r w:rsidRPr="00684A08">
        <w:t>Practice Group</w:t>
      </w:r>
      <w:r>
        <w:t xml:space="preserve"> Leader</w:t>
      </w:r>
      <w:r w:rsidRPr="00684A08">
        <w:t xml:space="preserve"> determines correspondence to be a complaint (and not feedback), this should be forwarded to Feedback and Complaints inbox to enable LBI to coordinate the complaint handling process.</w:t>
      </w:r>
    </w:p>
    <w:p w14:paraId="0CBDB203" w14:textId="1F64D41B" w:rsidR="0095107D" w:rsidRPr="00E4641F" w:rsidRDefault="0095107D" w:rsidP="00E4641F">
      <w:pPr>
        <w:pStyle w:val="Heading2"/>
        <w:rPr>
          <w:lang w:val="en-US"/>
        </w:rPr>
      </w:pPr>
      <w:bookmarkStart w:id="8" w:name="_Toc86059666"/>
      <w:bookmarkStart w:id="9" w:name="_Hlk81215353"/>
      <w:r w:rsidRPr="00E4641F">
        <w:rPr>
          <w:lang w:val="en-US"/>
        </w:rPr>
        <w:t>Complaints made to External Bodies</w:t>
      </w:r>
      <w:bookmarkEnd w:id="8"/>
      <w:r w:rsidRPr="00E4641F">
        <w:rPr>
          <w:lang w:val="en-US"/>
        </w:rPr>
        <w:t xml:space="preserve"> </w:t>
      </w:r>
      <w:bookmarkEnd w:id="7"/>
    </w:p>
    <w:p w14:paraId="3CE4DA97" w14:textId="448ECD01" w:rsidR="0095107D" w:rsidRPr="00E4641F" w:rsidRDefault="0095107D" w:rsidP="00E4641F">
      <w:pPr>
        <w:pStyle w:val="BodyText"/>
        <w:numPr>
          <w:ilvl w:val="0"/>
          <w:numId w:val="3"/>
        </w:numPr>
        <w:spacing w:before="101" w:after="240"/>
        <w:rPr>
          <w:b/>
          <w:i/>
        </w:rPr>
      </w:pPr>
      <w:r w:rsidRPr="00E4641F">
        <w:rPr>
          <w:bCs/>
          <w:iCs/>
        </w:rPr>
        <w:t>Occasionally, complaints by defendants are made directly to the external bodies, such as the Commonwealth Ombudsman or the Australian Human Rights Commission</w:t>
      </w:r>
      <w:r w:rsidR="004966C9">
        <w:rPr>
          <w:bCs/>
          <w:iCs/>
        </w:rPr>
        <w:t xml:space="preserve"> (AHRC)</w:t>
      </w:r>
      <w:r w:rsidRPr="00E4641F">
        <w:rPr>
          <w:bCs/>
          <w:iCs/>
        </w:rPr>
        <w:t>, wh</w:t>
      </w:r>
      <w:r w:rsidR="00391C90">
        <w:rPr>
          <w:bCs/>
          <w:iCs/>
        </w:rPr>
        <w:t>ich</w:t>
      </w:r>
      <w:r w:rsidRPr="00E4641F">
        <w:rPr>
          <w:bCs/>
          <w:iCs/>
        </w:rPr>
        <w:t xml:space="preserve"> in turn request information (generally under notice) from the CDPP </w:t>
      </w:r>
      <w:r w:rsidR="004966C9">
        <w:rPr>
          <w:bCs/>
          <w:iCs/>
        </w:rPr>
        <w:t xml:space="preserve">via the Feedback and Complaints inbox </w:t>
      </w:r>
      <w:r w:rsidRPr="00E4641F">
        <w:rPr>
          <w:bCs/>
          <w:iCs/>
        </w:rPr>
        <w:t>to assist in their investigation of the complaint. These types of complaints are managed in the same way as complaints made directly to CDPP. It is important to remember that</w:t>
      </w:r>
      <w:r w:rsidR="004966C9">
        <w:rPr>
          <w:bCs/>
          <w:iCs/>
        </w:rPr>
        <w:t xml:space="preserve"> </w:t>
      </w:r>
      <w:r w:rsidR="002E292C">
        <w:rPr>
          <w:bCs/>
          <w:iCs/>
        </w:rPr>
        <w:t xml:space="preserve">the </w:t>
      </w:r>
      <w:r w:rsidR="004966C9">
        <w:rPr>
          <w:bCs/>
          <w:iCs/>
        </w:rPr>
        <w:t>Commonwealth Ombudsman and the AHRC may have strict</w:t>
      </w:r>
      <w:r w:rsidRPr="00E4641F">
        <w:rPr>
          <w:bCs/>
          <w:iCs/>
        </w:rPr>
        <w:t xml:space="preserve"> </w:t>
      </w:r>
      <w:r w:rsidR="004966C9">
        <w:rPr>
          <w:bCs/>
          <w:iCs/>
        </w:rPr>
        <w:t xml:space="preserve">statutory </w:t>
      </w:r>
      <w:r w:rsidRPr="00E4641F">
        <w:rPr>
          <w:bCs/>
          <w:iCs/>
        </w:rPr>
        <w:t xml:space="preserve">timelines </w:t>
      </w:r>
      <w:r w:rsidR="004966C9">
        <w:rPr>
          <w:bCs/>
          <w:iCs/>
        </w:rPr>
        <w:t>that</w:t>
      </w:r>
      <w:r w:rsidRPr="00E4641F">
        <w:rPr>
          <w:bCs/>
          <w:iCs/>
        </w:rPr>
        <w:t xml:space="preserve"> apply for r</w:t>
      </w:r>
      <w:r w:rsidR="00985BCF">
        <w:rPr>
          <w:bCs/>
          <w:iCs/>
        </w:rPr>
        <w:t xml:space="preserve">esponses </w:t>
      </w:r>
      <w:r w:rsidRPr="00E4641F">
        <w:rPr>
          <w:bCs/>
          <w:iCs/>
        </w:rPr>
        <w:t>to these requests for information</w:t>
      </w:r>
      <w:r w:rsidRPr="00E4641F">
        <w:rPr>
          <w:b/>
          <w:i/>
        </w:rPr>
        <w:t>.</w:t>
      </w:r>
      <w:r w:rsidR="004966C9">
        <w:t xml:space="preserve"> It is the responsibility of the Complaint Officer </w:t>
      </w:r>
      <w:r w:rsidR="00985BCF">
        <w:t>(</w:t>
      </w:r>
      <w:proofErr w:type="spellStart"/>
      <w:proofErr w:type="gramStart"/>
      <w:r w:rsidR="00985BCF">
        <w:t>ie</w:t>
      </w:r>
      <w:proofErr w:type="spellEnd"/>
      <w:proofErr w:type="gramEnd"/>
      <w:r w:rsidR="00985BCF">
        <w:t xml:space="preserve"> the person who is conducting the investigation into the </w:t>
      </w:r>
      <w:r w:rsidR="0034385A">
        <w:t>c</w:t>
      </w:r>
      <w:r w:rsidR="00985BCF">
        <w:t xml:space="preserve">omplaint) </w:t>
      </w:r>
      <w:r w:rsidR="004966C9">
        <w:t>to ensure compliance with these time frames.</w:t>
      </w:r>
    </w:p>
    <w:p w14:paraId="64936AFB" w14:textId="77777777" w:rsidR="00D208CF" w:rsidRPr="00C91915" w:rsidRDefault="00D208CF" w:rsidP="00C91915">
      <w:pPr>
        <w:pStyle w:val="Heading2"/>
        <w:rPr>
          <w:lang w:val="en-US"/>
        </w:rPr>
      </w:pPr>
      <w:bookmarkStart w:id="10" w:name="_Toc75856223"/>
      <w:bookmarkStart w:id="11" w:name="_Toc86059667"/>
      <w:bookmarkEnd w:id="9"/>
      <w:r w:rsidRPr="00E4641F">
        <w:rPr>
          <w:lang w:val="en-US"/>
        </w:rPr>
        <w:t>Sensitive or Significant Complaints</w:t>
      </w:r>
      <w:bookmarkEnd w:id="10"/>
      <w:bookmarkEnd w:id="11"/>
    </w:p>
    <w:p w14:paraId="067C0251" w14:textId="54D13086" w:rsidR="00D208CF" w:rsidRPr="00A436E4" w:rsidRDefault="00D208CF" w:rsidP="00C91915">
      <w:pPr>
        <w:pStyle w:val="BodyText"/>
        <w:numPr>
          <w:ilvl w:val="0"/>
          <w:numId w:val="3"/>
        </w:numPr>
        <w:spacing w:before="101"/>
      </w:pPr>
      <w:r w:rsidRPr="00C91915">
        <w:t>Complaints</w:t>
      </w:r>
      <w:r w:rsidRPr="00C91915">
        <w:rPr>
          <w:spacing w:val="-3"/>
        </w:rPr>
        <w:t xml:space="preserve"> </w:t>
      </w:r>
      <w:r w:rsidRPr="00C91915">
        <w:t>from</w:t>
      </w:r>
      <w:r w:rsidRPr="00C91915">
        <w:rPr>
          <w:spacing w:val="-5"/>
        </w:rPr>
        <w:t xml:space="preserve"> </w:t>
      </w:r>
      <w:r w:rsidRPr="00C91915">
        <w:t>members</w:t>
      </w:r>
      <w:r w:rsidRPr="00C91915">
        <w:rPr>
          <w:spacing w:val="-8"/>
        </w:rPr>
        <w:t xml:space="preserve"> </w:t>
      </w:r>
      <w:r w:rsidRPr="00C91915">
        <w:t>of</w:t>
      </w:r>
      <w:r w:rsidRPr="00C91915">
        <w:rPr>
          <w:spacing w:val="-4"/>
        </w:rPr>
        <w:t xml:space="preserve"> </w:t>
      </w:r>
      <w:r w:rsidRPr="00C91915">
        <w:t>the</w:t>
      </w:r>
      <w:r w:rsidRPr="00C91915">
        <w:rPr>
          <w:spacing w:val="-3"/>
        </w:rPr>
        <w:t xml:space="preserve"> </w:t>
      </w:r>
      <w:r w:rsidRPr="00C91915">
        <w:t>public,</w:t>
      </w:r>
      <w:r w:rsidRPr="00C91915">
        <w:rPr>
          <w:spacing w:val="-3"/>
        </w:rPr>
        <w:t xml:space="preserve"> </w:t>
      </w:r>
      <w:r w:rsidRPr="00C91915">
        <w:t>including</w:t>
      </w:r>
      <w:r w:rsidRPr="00C91915">
        <w:rPr>
          <w:spacing w:val="-5"/>
        </w:rPr>
        <w:t xml:space="preserve"> </w:t>
      </w:r>
      <w:r w:rsidRPr="00C91915">
        <w:t>complaints</w:t>
      </w:r>
      <w:r w:rsidRPr="00C91915">
        <w:rPr>
          <w:spacing w:val="-3"/>
        </w:rPr>
        <w:t xml:space="preserve"> </w:t>
      </w:r>
      <w:r w:rsidRPr="00C91915">
        <w:t>about</w:t>
      </w:r>
      <w:r w:rsidRPr="00C91915">
        <w:rPr>
          <w:spacing w:val="-5"/>
        </w:rPr>
        <w:t xml:space="preserve"> </w:t>
      </w:r>
      <w:r w:rsidRPr="00C91915">
        <w:t>the</w:t>
      </w:r>
      <w:r w:rsidRPr="00C91915">
        <w:rPr>
          <w:spacing w:val="-6"/>
        </w:rPr>
        <w:t xml:space="preserve"> </w:t>
      </w:r>
      <w:r w:rsidRPr="00C91915">
        <w:t>conduct</w:t>
      </w:r>
      <w:r w:rsidRPr="00C91915">
        <w:rPr>
          <w:spacing w:val="-4"/>
        </w:rPr>
        <w:t xml:space="preserve"> </w:t>
      </w:r>
      <w:r w:rsidRPr="00C91915">
        <w:t>of</w:t>
      </w:r>
      <w:r w:rsidRPr="00C91915">
        <w:rPr>
          <w:spacing w:val="-6"/>
        </w:rPr>
        <w:t xml:space="preserve"> </w:t>
      </w:r>
      <w:r w:rsidRPr="00C91915">
        <w:t>prosecutions</w:t>
      </w:r>
      <w:r w:rsidRPr="00C91915">
        <w:rPr>
          <w:spacing w:val="-4"/>
        </w:rPr>
        <w:t xml:space="preserve"> </w:t>
      </w:r>
      <w:r w:rsidRPr="00C91915">
        <w:t>that,</w:t>
      </w:r>
      <w:r w:rsidRPr="00C91915">
        <w:rPr>
          <w:spacing w:val="-4"/>
        </w:rPr>
        <w:t xml:space="preserve"> </w:t>
      </w:r>
      <w:r w:rsidRPr="00C91915">
        <w:t>in</w:t>
      </w:r>
      <w:r w:rsidRPr="00C91915">
        <w:rPr>
          <w:spacing w:val="-7"/>
        </w:rPr>
        <w:t xml:space="preserve"> </w:t>
      </w:r>
      <w:r w:rsidRPr="00C91915">
        <w:t xml:space="preserve">the view of the relevant </w:t>
      </w:r>
      <w:r w:rsidR="00364CEE" w:rsidRPr="00C91915">
        <w:t>PGL</w:t>
      </w:r>
      <w:r w:rsidRPr="00C91915">
        <w:t>, are particularly sensitive or significant, or where they relate to</w:t>
      </w:r>
      <w:r w:rsidRPr="00C91915">
        <w:rPr>
          <w:spacing w:val="-35"/>
        </w:rPr>
        <w:t xml:space="preserve"> </w:t>
      </w:r>
      <w:r w:rsidRPr="00C91915">
        <w:t>a sensitive</w:t>
      </w:r>
      <w:r w:rsidRPr="00C91915">
        <w:rPr>
          <w:spacing w:val="-7"/>
        </w:rPr>
        <w:t xml:space="preserve"> </w:t>
      </w:r>
      <w:r w:rsidRPr="00C91915">
        <w:t>or</w:t>
      </w:r>
      <w:r w:rsidRPr="00C91915">
        <w:rPr>
          <w:spacing w:val="-7"/>
        </w:rPr>
        <w:t xml:space="preserve"> </w:t>
      </w:r>
      <w:r w:rsidRPr="00C91915">
        <w:t>significant</w:t>
      </w:r>
      <w:r w:rsidRPr="00C91915">
        <w:rPr>
          <w:spacing w:val="-7"/>
        </w:rPr>
        <w:t xml:space="preserve"> </w:t>
      </w:r>
      <w:r w:rsidRPr="00C91915">
        <w:t>matter,</w:t>
      </w:r>
      <w:r w:rsidRPr="00C91915">
        <w:rPr>
          <w:spacing w:val="-6"/>
        </w:rPr>
        <w:t xml:space="preserve"> </w:t>
      </w:r>
      <w:r w:rsidRPr="00C91915">
        <w:t>will</w:t>
      </w:r>
      <w:r w:rsidRPr="00C91915">
        <w:rPr>
          <w:spacing w:val="-5"/>
        </w:rPr>
        <w:t xml:space="preserve"> </w:t>
      </w:r>
      <w:r w:rsidRPr="00C91915">
        <w:t>be</w:t>
      </w:r>
      <w:r w:rsidRPr="00C91915">
        <w:rPr>
          <w:spacing w:val="-7"/>
        </w:rPr>
        <w:t xml:space="preserve"> </w:t>
      </w:r>
      <w:r w:rsidRPr="00C91915">
        <w:t>referred</w:t>
      </w:r>
      <w:r w:rsidRPr="00C91915">
        <w:rPr>
          <w:spacing w:val="-6"/>
        </w:rPr>
        <w:t xml:space="preserve"> </w:t>
      </w:r>
      <w:r w:rsidRPr="00C91915">
        <w:t>to</w:t>
      </w:r>
      <w:r w:rsidRPr="00C91915">
        <w:rPr>
          <w:spacing w:val="-5"/>
        </w:rPr>
        <w:t xml:space="preserve"> </w:t>
      </w:r>
      <w:r w:rsidRPr="00C91915">
        <w:t>the</w:t>
      </w:r>
      <w:r w:rsidRPr="00C91915">
        <w:rPr>
          <w:spacing w:val="-8"/>
        </w:rPr>
        <w:t xml:space="preserve"> </w:t>
      </w:r>
      <w:r w:rsidR="00364CEE" w:rsidRPr="00C91915">
        <w:t>CSPP</w:t>
      </w:r>
      <w:r w:rsidRPr="00C91915">
        <w:t xml:space="preserve"> for consideration. To assist the CSPP in considering the matter, a report will be provided by the PGL to the CSPP setting</w:t>
      </w:r>
      <w:r w:rsidRPr="00C91915">
        <w:rPr>
          <w:spacing w:val="-2"/>
        </w:rPr>
        <w:t xml:space="preserve"> </w:t>
      </w:r>
      <w:r w:rsidRPr="00C91915">
        <w:t>out:</w:t>
      </w:r>
    </w:p>
    <w:p w14:paraId="5E719CD0" w14:textId="77777777" w:rsidR="00D208CF" w:rsidRPr="0067786E" w:rsidRDefault="00D208CF" w:rsidP="00C91915">
      <w:pPr>
        <w:pStyle w:val="ListParagraph"/>
        <w:numPr>
          <w:ilvl w:val="0"/>
          <w:numId w:val="12"/>
        </w:numPr>
        <w:tabs>
          <w:tab w:val="left" w:pos="1217"/>
        </w:tabs>
        <w:spacing w:before="98"/>
      </w:pPr>
      <w:r w:rsidRPr="00A436E4">
        <w:t>the background of the matter, including all communications received from the</w:t>
      </w:r>
      <w:r w:rsidRPr="0067786E">
        <w:rPr>
          <w:spacing w:val="-8"/>
        </w:rPr>
        <w:t xml:space="preserve"> </w:t>
      </w:r>
      <w:r w:rsidRPr="0067786E">
        <w:t>complainant</w:t>
      </w:r>
    </w:p>
    <w:p w14:paraId="4799CB07" w14:textId="77777777" w:rsidR="00D208CF" w:rsidRPr="0067786E" w:rsidRDefault="00D208CF" w:rsidP="00C91915">
      <w:pPr>
        <w:pStyle w:val="ListParagraph"/>
        <w:numPr>
          <w:ilvl w:val="0"/>
          <w:numId w:val="12"/>
        </w:numPr>
        <w:tabs>
          <w:tab w:val="left" w:pos="1217"/>
        </w:tabs>
      </w:pPr>
      <w:r w:rsidRPr="0067786E">
        <w:t>the issues raised in the</w:t>
      </w:r>
      <w:r w:rsidRPr="0067786E">
        <w:rPr>
          <w:spacing w:val="-6"/>
        </w:rPr>
        <w:t xml:space="preserve"> </w:t>
      </w:r>
      <w:r w:rsidRPr="0067786E">
        <w:t>complaint</w:t>
      </w:r>
    </w:p>
    <w:p w14:paraId="720EA1DC" w14:textId="77777777" w:rsidR="00D208CF" w:rsidRPr="0067786E" w:rsidRDefault="00D208CF" w:rsidP="00C91915">
      <w:pPr>
        <w:pStyle w:val="ListParagraph"/>
        <w:numPr>
          <w:ilvl w:val="0"/>
          <w:numId w:val="12"/>
        </w:numPr>
        <w:tabs>
          <w:tab w:val="left" w:pos="1217"/>
        </w:tabs>
        <w:spacing w:before="100" w:after="240"/>
      </w:pPr>
      <w:r w:rsidRPr="0067786E">
        <w:t xml:space="preserve">any recommendations made by the </w:t>
      </w:r>
      <w:proofErr w:type="gramStart"/>
      <w:r w:rsidRPr="0067786E">
        <w:t>PGL</w:t>
      </w:r>
      <w:r w:rsidRPr="0067786E">
        <w:rPr>
          <w:spacing w:val="-5"/>
        </w:rPr>
        <w:t xml:space="preserve"> </w:t>
      </w:r>
      <w:r w:rsidRPr="0067786E">
        <w:t>.</w:t>
      </w:r>
      <w:proofErr w:type="gramEnd"/>
    </w:p>
    <w:p w14:paraId="73065355" w14:textId="45323E14" w:rsidR="000042F4" w:rsidRPr="00C91915" w:rsidRDefault="000042F4" w:rsidP="00C91915">
      <w:pPr>
        <w:pStyle w:val="Heading2"/>
        <w:rPr>
          <w:b w:val="0"/>
          <w:bCs w:val="0"/>
          <w:lang w:val="en-US"/>
        </w:rPr>
      </w:pPr>
      <w:bookmarkStart w:id="12" w:name="_Toc86059668"/>
      <w:r w:rsidRPr="00C91915">
        <w:rPr>
          <w:lang w:val="en-US"/>
        </w:rPr>
        <w:t xml:space="preserve">Complaints that Involve Consideration of Paying Compensation for Defective Administration, Making an </w:t>
      </w:r>
      <w:proofErr w:type="gramStart"/>
      <w:r w:rsidRPr="00C91915">
        <w:rPr>
          <w:lang w:val="en-US"/>
        </w:rPr>
        <w:t>Ex Gratia</w:t>
      </w:r>
      <w:proofErr w:type="gramEnd"/>
      <w:r w:rsidRPr="00C91915">
        <w:rPr>
          <w:lang w:val="en-US"/>
        </w:rPr>
        <w:t xml:space="preserve"> or Act of Grace Payment</w:t>
      </w:r>
      <w:bookmarkEnd w:id="12"/>
    </w:p>
    <w:p w14:paraId="54B7D40C" w14:textId="154DC179" w:rsidR="000042F4" w:rsidRPr="00A436E4" w:rsidRDefault="000042F4" w:rsidP="00C91915">
      <w:pPr>
        <w:pStyle w:val="BodyText"/>
        <w:numPr>
          <w:ilvl w:val="0"/>
          <w:numId w:val="3"/>
        </w:numPr>
      </w:pPr>
      <w:r w:rsidRPr="00C91915">
        <w:t>The</w:t>
      </w:r>
      <w:r w:rsidRPr="00C91915">
        <w:rPr>
          <w:spacing w:val="-8"/>
        </w:rPr>
        <w:t xml:space="preserve"> </w:t>
      </w:r>
      <w:r w:rsidRPr="00C91915">
        <w:t>Chief</w:t>
      </w:r>
      <w:r w:rsidRPr="00C91915">
        <w:rPr>
          <w:spacing w:val="-8"/>
        </w:rPr>
        <w:t xml:space="preserve"> </w:t>
      </w:r>
      <w:r w:rsidRPr="00C91915">
        <w:t>Financial</w:t>
      </w:r>
      <w:r w:rsidRPr="00C91915">
        <w:rPr>
          <w:spacing w:val="-9"/>
        </w:rPr>
        <w:t xml:space="preserve"> </w:t>
      </w:r>
      <w:r w:rsidRPr="00C91915">
        <w:t>Officer</w:t>
      </w:r>
      <w:r w:rsidRPr="00C91915">
        <w:rPr>
          <w:spacing w:val="-8"/>
        </w:rPr>
        <w:t xml:space="preserve"> </w:t>
      </w:r>
      <w:r w:rsidRPr="00C91915">
        <w:t>should</w:t>
      </w:r>
      <w:r w:rsidRPr="00C91915">
        <w:rPr>
          <w:spacing w:val="-9"/>
        </w:rPr>
        <w:t xml:space="preserve"> </w:t>
      </w:r>
      <w:r w:rsidRPr="00C91915">
        <w:t>be</w:t>
      </w:r>
      <w:r w:rsidRPr="00C91915">
        <w:rPr>
          <w:spacing w:val="-7"/>
        </w:rPr>
        <w:t xml:space="preserve"> </w:t>
      </w:r>
      <w:r w:rsidRPr="00C91915">
        <w:t>provided</w:t>
      </w:r>
      <w:r w:rsidRPr="00C91915">
        <w:rPr>
          <w:spacing w:val="-8"/>
        </w:rPr>
        <w:t xml:space="preserve"> </w:t>
      </w:r>
      <w:r w:rsidRPr="00C91915">
        <w:t>with</w:t>
      </w:r>
      <w:r w:rsidRPr="00C91915">
        <w:rPr>
          <w:spacing w:val="-8"/>
        </w:rPr>
        <w:t xml:space="preserve"> </w:t>
      </w:r>
      <w:r w:rsidRPr="00C91915">
        <w:t>a</w:t>
      </w:r>
      <w:r w:rsidRPr="00C91915">
        <w:rPr>
          <w:spacing w:val="-8"/>
        </w:rPr>
        <w:t xml:space="preserve"> </w:t>
      </w:r>
      <w:r w:rsidRPr="00C91915">
        <w:t>report</w:t>
      </w:r>
      <w:r w:rsidRPr="00C91915">
        <w:rPr>
          <w:spacing w:val="-8"/>
        </w:rPr>
        <w:t xml:space="preserve"> </w:t>
      </w:r>
      <w:r w:rsidRPr="00C91915">
        <w:t>setting</w:t>
      </w:r>
      <w:r w:rsidRPr="00C91915">
        <w:rPr>
          <w:spacing w:val="-8"/>
        </w:rPr>
        <w:t xml:space="preserve"> </w:t>
      </w:r>
      <w:r w:rsidRPr="00C91915">
        <w:t>out</w:t>
      </w:r>
      <w:r w:rsidRPr="00C91915">
        <w:rPr>
          <w:spacing w:val="-7"/>
        </w:rPr>
        <w:t xml:space="preserve"> </w:t>
      </w:r>
      <w:r w:rsidRPr="00C91915">
        <w:t>any</w:t>
      </w:r>
      <w:r w:rsidRPr="00C91915">
        <w:rPr>
          <w:spacing w:val="-7"/>
        </w:rPr>
        <w:t xml:space="preserve"> </w:t>
      </w:r>
      <w:r w:rsidRPr="00C91915">
        <w:t>background,</w:t>
      </w:r>
      <w:r w:rsidRPr="00C91915">
        <w:rPr>
          <w:spacing w:val="-8"/>
        </w:rPr>
        <w:t xml:space="preserve"> </w:t>
      </w:r>
      <w:r w:rsidRPr="00C91915">
        <w:t>consideration</w:t>
      </w:r>
      <w:r w:rsidRPr="00C91915">
        <w:rPr>
          <w:spacing w:val="-9"/>
        </w:rPr>
        <w:t xml:space="preserve"> </w:t>
      </w:r>
      <w:r w:rsidRPr="00C91915">
        <w:t>of</w:t>
      </w:r>
      <w:r w:rsidRPr="00C91915">
        <w:rPr>
          <w:spacing w:val="-8"/>
        </w:rPr>
        <w:t xml:space="preserve"> </w:t>
      </w:r>
      <w:r w:rsidRPr="00C91915">
        <w:t>the issues</w:t>
      </w:r>
      <w:r w:rsidRPr="00C91915">
        <w:rPr>
          <w:spacing w:val="-8"/>
        </w:rPr>
        <w:t xml:space="preserve"> </w:t>
      </w:r>
      <w:r w:rsidRPr="00C91915">
        <w:t>raised</w:t>
      </w:r>
      <w:r w:rsidRPr="00C91915">
        <w:rPr>
          <w:spacing w:val="-8"/>
        </w:rPr>
        <w:t xml:space="preserve"> </w:t>
      </w:r>
      <w:r w:rsidRPr="00C91915">
        <w:t>in</w:t>
      </w:r>
      <w:r w:rsidRPr="00C91915">
        <w:rPr>
          <w:spacing w:val="-9"/>
        </w:rPr>
        <w:t xml:space="preserve"> </w:t>
      </w:r>
      <w:r w:rsidRPr="00C91915">
        <w:t>the</w:t>
      </w:r>
      <w:r w:rsidRPr="00C91915">
        <w:rPr>
          <w:spacing w:val="-7"/>
        </w:rPr>
        <w:t xml:space="preserve"> </w:t>
      </w:r>
      <w:r w:rsidRPr="00C91915">
        <w:t>complaint</w:t>
      </w:r>
      <w:r w:rsidRPr="00C91915">
        <w:rPr>
          <w:spacing w:val="-7"/>
        </w:rPr>
        <w:t xml:space="preserve"> </w:t>
      </w:r>
      <w:r w:rsidRPr="00C91915">
        <w:t>and</w:t>
      </w:r>
      <w:r w:rsidRPr="00C91915">
        <w:rPr>
          <w:spacing w:val="-9"/>
        </w:rPr>
        <w:t xml:space="preserve"> </w:t>
      </w:r>
      <w:r w:rsidRPr="00C91915">
        <w:t>any</w:t>
      </w:r>
      <w:r w:rsidRPr="00C91915">
        <w:rPr>
          <w:spacing w:val="-8"/>
        </w:rPr>
        <w:t xml:space="preserve"> </w:t>
      </w:r>
      <w:r w:rsidRPr="00C91915">
        <w:t>recommendations</w:t>
      </w:r>
      <w:r w:rsidRPr="00C91915">
        <w:rPr>
          <w:spacing w:val="-8"/>
        </w:rPr>
        <w:t xml:space="preserve"> </w:t>
      </w:r>
      <w:r w:rsidRPr="00C91915">
        <w:t>made</w:t>
      </w:r>
      <w:r w:rsidRPr="00C91915">
        <w:rPr>
          <w:spacing w:val="-7"/>
        </w:rPr>
        <w:t xml:space="preserve"> </w:t>
      </w:r>
      <w:r w:rsidRPr="00C91915">
        <w:t>by</w:t>
      </w:r>
      <w:r w:rsidRPr="00C91915">
        <w:rPr>
          <w:spacing w:val="-7"/>
        </w:rPr>
        <w:t xml:space="preserve"> </w:t>
      </w:r>
      <w:r w:rsidRPr="00C91915">
        <w:t>the</w:t>
      </w:r>
      <w:r w:rsidRPr="00C91915">
        <w:rPr>
          <w:spacing w:val="-8"/>
        </w:rPr>
        <w:t xml:space="preserve"> </w:t>
      </w:r>
      <w:r w:rsidRPr="00C91915">
        <w:t xml:space="preserve">Branch Head or </w:t>
      </w:r>
      <w:r w:rsidR="00364CEE" w:rsidRPr="00C91915">
        <w:t>PGL</w:t>
      </w:r>
      <w:r w:rsidRPr="00C91915">
        <w:t>,</w:t>
      </w:r>
      <w:r w:rsidRPr="00C91915">
        <w:rPr>
          <w:spacing w:val="-8"/>
        </w:rPr>
        <w:t xml:space="preserve"> </w:t>
      </w:r>
      <w:r w:rsidRPr="00C91915">
        <w:t xml:space="preserve">including whether </w:t>
      </w:r>
      <w:proofErr w:type="gramStart"/>
      <w:r w:rsidRPr="00C91915">
        <w:t>particular legislation</w:t>
      </w:r>
      <w:proofErr w:type="gramEnd"/>
      <w:r w:rsidRPr="00C91915">
        <w:t xml:space="preserve"> or schemes would</w:t>
      </w:r>
      <w:r w:rsidRPr="00C91915">
        <w:rPr>
          <w:spacing w:val="-9"/>
        </w:rPr>
        <w:t xml:space="preserve"> </w:t>
      </w:r>
      <w:r w:rsidRPr="00C91915">
        <w:t>apply.</w:t>
      </w:r>
    </w:p>
    <w:p w14:paraId="2B4EA70E" w14:textId="77777777" w:rsidR="000042F4" w:rsidRPr="00A436E4" w:rsidRDefault="000042F4" w:rsidP="00C91915">
      <w:pPr>
        <w:pStyle w:val="ListParagraph"/>
        <w:numPr>
          <w:ilvl w:val="0"/>
          <w:numId w:val="12"/>
        </w:numPr>
        <w:tabs>
          <w:tab w:val="left" w:pos="1217"/>
        </w:tabs>
        <w:spacing w:before="98"/>
      </w:pPr>
      <w:r w:rsidRPr="00A436E4">
        <w:t xml:space="preserve">Section 65 of the </w:t>
      </w:r>
      <w:r w:rsidRPr="00C91915">
        <w:rPr>
          <w:i/>
          <w:iCs/>
        </w:rPr>
        <w:t>Public Governance Performance and Accountability Act 2013</w:t>
      </w:r>
      <w:r w:rsidRPr="00A436E4">
        <w:t xml:space="preserve"> applies to Act of Grace payments.</w:t>
      </w:r>
    </w:p>
    <w:p w14:paraId="4DBF7682" w14:textId="2102EE19" w:rsidR="000042F4" w:rsidRPr="00A436E4" w:rsidRDefault="000042F4" w:rsidP="00C91915">
      <w:pPr>
        <w:pStyle w:val="ListParagraph"/>
        <w:numPr>
          <w:ilvl w:val="0"/>
          <w:numId w:val="12"/>
        </w:numPr>
        <w:tabs>
          <w:tab w:val="left" w:pos="1217"/>
        </w:tabs>
        <w:spacing w:before="98"/>
      </w:pPr>
      <w:r w:rsidRPr="00A436E4">
        <w:t>The CDDA Scheme is an administrative scheme established under the executive power of section 61</w:t>
      </w:r>
      <w:r w:rsidRPr="00A436E4">
        <w:rPr>
          <w:spacing w:val="-21"/>
        </w:rPr>
        <w:t xml:space="preserve"> </w:t>
      </w:r>
      <w:r w:rsidRPr="00A436E4">
        <w:t>of</w:t>
      </w:r>
      <w:r w:rsidRPr="00C91915">
        <w:t xml:space="preserve"> </w:t>
      </w:r>
      <w:r w:rsidRPr="00A436E4">
        <w:rPr>
          <w:i/>
        </w:rPr>
        <w:t xml:space="preserve">The Constitution </w:t>
      </w:r>
      <w:r w:rsidRPr="00A436E4">
        <w:t>in relation to making payments arising from defective administration.</w:t>
      </w:r>
    </w:p>
    <w:p w14:paraId="75E52697" w14:textId="77777777" w:rsidR="000042F4" w:rsidRDefault="000042F4" w:rsidP="00C91915">
      <w:pPr>
        <w:pStyle w:val="Heading1"/>
        <w:ind w:left="932"/>
        <w:rPr>
          <w:color w:val="937146"/>
        </w:rPr>
      </w:pPr>
    </w:p>
    <w:p w14:paraId="18346952" w14:textId="229C97B3" w:rsidR="00D208CF" w:rsidRPr="00C91915" w:rsidRDefault="00367AE1" w:rsidP="00C91915">
      <w:pPr>
        <w:pStyle w:val="Heading1Numbered"/>
        <w:numPr>
          <w:ilvl w:val="0"/>
          <w:numId w:val="0"/>
        </w:numPr>
        <w:ind w:left="567" w:hanging="567"/>
        <w:rPr>
          <w:b w:val="0"/>
          <w:lang w:val="en-US"/>
        </w:rPr>
      </w:pPr>
      <w:bookmarkStart w:id="13" w:name="_Toc75856224"/>
      <w:bookmarkStart w:id="14" w:name="_Toc86059669"/>
      <w:r w:rsidRPr="00C91915">
        <w:rPr>
          <w:lang w:val="en-US"/>
        </w:rPr>
        <w:lastRenderedPageBreak/>
        <w:t>FEEDBACK</w:t>
      </w:r>
      <w:bookmarkEnd w:id="13"/>
      <w:bookmarkEnd w:id="14"/>
    </w:p>
    <w:p w14:paraId="425079C1" w14:textId="783F6CFA" w:rsidR="005441EA" w:rsidRPr="00C91915" w:rsidRDefault="0035058A" w:rsidP="00C91915">
      <w:pPr>
        <w:pStyle w:val="BodyText"/>
        <w:numPr>
          <w:ilvl w:val="0"/>
          <w:numId w:val="3"/>
        </w:numPr>
        <w:spacing w:before="101" w:after="240"/>
      </w:pPr>
      <w:r w:rsidRPr="00C91915">
        <w:rPr>
          <w:bCs/>
          <w:iCs/>
        </w:rPr>
        <w:t>Feedback</w:t>
      </w:r>
      <w:r w:rsidRPr="00C91915">
        <w:rPr>
          <w:b/>
          <w:i/>
        </w:rPr>
        <w:t xml:space="preserve"> </w:t>
      </w:r>
      <w:r w:rsidRPr="00C91915">
        <w:t xml:space="preserve">can also be provided to the CDPP in the ways outlined above. </w:t>
      </w:r>
      <w:r w:rsidR="00D208CF" w:rsidRPr="00C91915">
        <w:t>Feedback is not a complaint. F</w:t>
      </w:r>
      <w:r w:rsidRPr="00C91915">
        <w:t xml:space="preserve">eedback can be positive and relate to the way a CDPP staff member, a barrister briefed by the CDPP or the CDPP as a whole has dealt with a matter, </w:t>
      </w:r>
      <w:proofErr w:type="gramStart"/>
      <w:r w:rsidRPr="00C91915">
        <w:t>or,</w:t>
      </w:r>
      <w:proofErr w:type="gramEnd"/>
      <w:r w:rsidRPr="00C91915">
        <w:t xml:space="preserve"> it may, without constituting a complaint, highlight procedural or related issues encountered by the person providing feedback from which the CDPP can learn.</w:t>
      </w:r>
    </w:p>
    <w:p w14:paraId="6005540C" w14:textId="77777777" w:rsidR="00D208CF" w:rsidRPr="00C91915" w:rsidRDefault="00D208CF" w:rsidP="00C91915">
      <w:pPr>
        <w:pStyle w:val="BodyText"/>
        <w:numPr>
          <w:ilvl w:val="0"/>
          <w:numId w:val="3"/>
        </w:numPr>
        <w:spacing w:before="101" w:after="240"/>
      </w:pPr>
      <w:r w:rsidRPr="00C91915">
        <w:t>Feedback does not always require a response or acknowledgment. Sometimes, it will be sufficient to forward the feedback to a PGL for their information only, without the requirement to formally reply to the person who provided feedback.</w:t>
      </w:r>
    </w:p>
    <w:p w14:paraId="245BB376" w14:textId="553AE347" w:rsidR="005441EA" w:rsidRPr="00C91915" w:rsidRDefault="00D208CF" w:rsidP="00C91915">
      <w:pPr>
        <w:pStyle w:val="BodyText"/>
        <w:numPr>
          <w:ilvl w:val="0"/>
          <w:numId w:val="3"/>
        </w:numPr>
        <w:spacing w:before="102" w:after="240"/>
      </w:pPr>
      <w:r w:rsidRPr="00A436E4">
        <w:t xml:space="preserve">Where it is determined that the </w:t>
      </w:r>
      <w:proofErr w:type="gramStart"/>
      <w:r w:rsidRPr="00A436E4">
        <w:t>particular feedback</w:t>
      </w:r>
      <w:proofErr w:type="gramEnd"/>
      <w:r w:rsidRPr="00A436E4">
        <w:t xml:space="preserve"> be acknowledged, that</w:t>
      </w:r>
      <w:r w:rsidR="00503297">
        <w:t xml:space="preserve"> </w:t>
      </w:r>
      <w:r w:rsidR="0035058A" w:rsidRPr="00C91915">
        <w:t>feedback will be acknowledged within two business days.</w:t>
      </w:r>
    </w:p>
    <w:p w14:paraId="635470A2" w14:textId="14153B44" w:rsidR="00D208CF" w:rsidRPr="00C91915" w:rsidRDefault="00367AE1" w:rsidP="00C91915">
      <w:pPr>
        <w:pStyle w:val="Heading1Numbered"/>
        <w:numPr>
          <w:ilvl w:val="0"/>
          <w:numId w:val="0"/>
        </w:numPr>
        <w:ind w:left="567" w:hanging="567"/>
        <w:rPr>
          <w:lang w:val="en-US"/>
        </w:rPr>
      </w:pPr>
      <w:bookmarkStart w:id="15" w:name="_Toc75856225"/>
      <w:bookmarkStart w:id="16" w:name="_Toc86059670"/>
      <w:r w:rsidRPr="00C91915">
        <w:rPr>
          <w:lang w:val="en-US"/>
        </w:rPr>
        <w:t xml:space="preserve">GENERAL </w:t>
      </w:r>
      <w:bookmarkEnd w:id="15"/>
      <w:r w:rsidR="002004D7">
        <w:rPr>
          <w:lang w:val="en-US"/>
        </w:rPr>
        <w:t>E</w:t>
      </w:r>
      <w:r w:rsidR="002004D7" w:rsidRPr="00C91915">
        <w:rPr>
          <w:lang w:val="en-US"/>
        </w:rPr>
        <w:t>NQUIRIES</w:t>
      </w:r>
      <w:bookmarkEnd w:id="16"/>
    </w:p>
    <w:p w14:paraId="03D489EA" w14:textId="77777777" w:rsidR="00D208CF" w:rsidRPr="0067786E" w:rsidRDefault="00D208CF" w:rsidP="00C91915">
      <w:pPr>
        <w:pStyle w:val="BodyText"/>
        <w:numPr>
          <w:ilvl w:val="0"/>
          <w:numId w:val="3"/>
        </w:numPr>
        <w:spacing w:before="102" w:after="240"/>
      </w:pPr>
      <w:r w:rsidRPr="00A436E4">
        <w:t xml:space="preserve">General queries from members of the public in relation to various issues, including reporting crimes, are often sent in error to LBI via the Feedback and Complaints Inbox. LBI does not deal with general queries from members of the public unless it relates </w:t>
      </w:r>
      <w:r w:rsidRPr="0067786E">
        <w:t xml:space="preserve">to a complaint concerning the CDPP, a staff member or a current or prior CDPP </w:t>
      </w:r>
      <w:proofErr w:type="gramStart"/>
      <w:r w:rsidRPr="0067786E">
        <w:t>prosecution, or</w:t>
      </w:r>
      <w:proofErr w:type="gramEnd"/>
      <w:r w:rsidRPr="0067786E">
        <w:t xml:space="preserve"> is feedback of the nature outlined above.</w:t>
      </w:r>
    </w:p>
    <w:p w14:paraId="111F1E92" w14:textId="39B3CC41" w:rsidR="00D208CF" w:rsidRDefault="00D208CF" w:rsidP="00C91915">
      <w:pPr>
        <w:pStyle w:val="BodyText"/>
        <w:numPr>
          <w:ilvl w:val="0"/>
          <w:numId w:val="3"/>
        </w:numPr>
        <w:spacing w:before="102" w:after="240"/>
      </w:pPr>
      <w:r w:rsidRPr="0067786E">
        <w:t xml:space="preserve">General enquiries from members of the public that are not complaints or feedback (as above) </w:t>
      </w:r>
      <w:r>
        <w:t xml:space="preserve">are managed via the monitored mailbox at </w:t>
      </w:r>
      <w:hyperlink r:id="rId11" w:history="1">
        <w:r w:rsidRPr="006E4BB4">
          <w:rPr>
            <w:rStyle w:val="Hyperlink"/>
          </w:rPr>
          <w:t>inquiries@cdpp.gov.au</w:t>
        </w:r>
      </w:hyperlink>
      <w:r>
        <w:t>.</w:t>
      </w:r>
    </w:p>
    <w:p w14:paraId="2729237D" w14:textId="7A02D58D" w:rsidR="00F745D6" w:rsidRPr="00C91915" w:rsidRDefault="00367AE1" w:rsidP="00C91915">
      <w:pPr>
        <w:pStyle w:val="Heading1Numbered"/>
        <w:numPr>
          <w:ilvl w:val="0"/>
          <w:numId w:val="0"/>
        </w:numPr>
        <w:ind w:left="567" w:hanging="567"/>
        <w:rPr>
          <w:lang w:val="en-US"/>
        </w:rPr>
      </w:pPr>
      <w:bookmarkStart w:id="17" w:name="_Toc75856226"/>
      <w:bookmarkStart w:id="18" w:name="_Toc86059671"/>
      <w:r w:rsidRPr="00C91915">
        <w:rPr>
          <w:lang w:val="en-US"/>
        </w:rPr>
        <w:t>SECURITY CONCERNS</w:t>
      </w:r>
      <w:bookmarkEnd w:id="17"/>
      <w:bookmarkEnd w:id="18"/>
    </w:p>
    <w:p w14:paraId="099E2365" w14:textId="75212B93" w:rsidR="00F745D6" w:rsidRPr="00C91915" w:rsidRDefault="00F745D6" w:rsidP="00C91915">
      <w:pPr>
        <w:pStyle w:val="BodyText"/>
        <w:numPr>
          <w:ilvl w:val="0"/>
          <w:numId w:val="3"/>
        </w:numPr>
        <w:spacing w:before="102" w:after="240"/>
      </w:pPr>
      <w:r w:rsidRPr="00C91915">
        <w:t xml:space="preserve">Correspondence that contains abuse, harassment and/or threatening language will not be tolerated. CDPP staff are required to advise the Agency Security Advisor of any threat or security concern, including those made in a complaint or feedback received via email or via the Feedback and Complaints E-Form. Please email </w:t>
      </w:r>
      <w:hyperlink r:id="rId12" w:history="1">
        <w:r w:rsidRPr="00C91915">
          <w:rPr>
            <w:rStyle w:val="Hyperlink"/>
          </w:rPr>
          <w:t>security@cdpp.gov.au</w:t>
        </w:r>
      </w:hyperlink>
      <w:r>
        <w:t xml:space="preserve"> </w:t>
      </w:r>
      <w:r w:rsidRPr="00C91915">
        <w:t>for more information.</w:t>
      </w:r>
    </w:p>
    <w:p w14:paraId="3A6A8A21" w14:textId="22752ADB" w:rsidR="005441EA" w:rsidRPr="008D2185" w:rsidRDefault="00367AE1" w:rsidP="00C91915">
      <w:pPr>
        <w:pStyle w:val="Heading1Numbered"/>
        <w:numPr>
          <w:ilvl w:val="0"/>
          <w:numId w:val="0"/>
        </w:numPr>
        <w:ind w:left="567" w:hanging="567"/>
        <w:rPr>
          <w:lang w:val="en-US"/>
        </w:rPr>
      </w:pPr>
      <w:bookmarkStart w:id="19" w:name="_Toc86059672"/>
      <w:bookmarkStart w:id="20" w:name="_Toc75856227"/>
      <w:r w:rsidRPr="008D2185">
        <w:rPr>
          <w:lang w:val="en-US"/>
        </w:rPr>
        <w:t>STEPS IN THE PROCESS FOR COMPLAINTS</w:t>
      </w:r>
      <w:r w:rsidR="00C45608">
        <w:rPr>
          <w:lang w:val="en-US"/>
        </w:rPr>
        <w:t xml:space="preserve"> AND FEEDBACK</w:t>
      </w:r>
      <w:bookmarkEnd w:id="19"/>
      <w:r w:rsidRPr="008D2185">
        <w:rPr>
          <w:lang w:val="en-US"/>
        </w:rPr>
        <w:t xml:space="preserve"> </w:t>
      </w:r>
      <w:bookmarkEnd w:id="20"/>
    </w:p>
    <w:p w14:paraId="1BA16870" w14:textId="521012D2" w:rsidR="00F745D6" w:rsidRPr="00C91915" w:rsidRDefault="00F745D6" w:rsidP="00C91915">
      <w:pPr>
        <w:pStyle w:val="Heading2"/>
        <w:rPr>
          <w:lang w:val="en-US"/>
        </w:rPr>
      </w:pPr>
      <w:bookmarkStart w:id="21" w:name="_Toc86059673"/>
      <w:r w:rsidRPr="00C91915">
        <w:rPr>
          <w:lang w:val="en-US"/>
        </w:rPr>
        <w:t>Background</w:t>
      </w:r>
      <w:bookmarkEnd w:id="21"/>
    </w:p>
    <w:p w14:paraId="7CAEB341" w14:textId="7B5FBFC7" w:rsidR="00F745D6" w:rsidRPr="00C91915" w:rsidRDefault="00F745D6" w:rsidP="00C91915">
      <w:pPr>
        <w:pStyle w:val="ListParagraph"/>
        <w:numPr>
          <w:ilvl w:val="0"/>
          <w:numId w:val="3"/>
        </w:numPr>
        <w:spacing w:before="99"/>
      </w:pPr>
      <w:r w:rsidRPr="00C91915">
        <w:t xml:space="preserve">The Commonwealth Ombudsman’s </w:t>
      </w:r>
      <w:hyperlink r:id="rId13">
        <w:r w:rsidRPr="00F745D6">
          <w:rPr>
            <w:rStyle w:val="Hyperlink"/>
            <w:i/>
          </w:rPr>
          <w:t xml:space="preserve">Better Practice Guide to Complaint Handling </w:t>
        </w:r>
      </w:hyperlink>
      <w:r w:rsidRPr="00C91915">
        <w:t xml:space="preserve">describes a strong complaint handling system as one that embeds the Ombudsman’s complaint handling cycle. The cornerstone of good complaint handling is a culture where staff understand the value of complaints and are committed to delivering a </w:t>
      </w:r>
      <w:r w:rsidR="00503297" w:rsidRPr="00F57861">
        <w:t>high-quality</w:t>
      </w:r>
      <w:r w:rsidRPr="00C91915">
        <w:t xml:space="preserve"> service. Strong systems are:</w:t>
      </w:r>
    </w:p>
    <w:p w14:paraId="551FC45D" w14:textId="77777777" w:rsidR="00F745D6" w:rsidRPr="0067786E" w:rsidRDefault="00F745D6" w:rsidP="00C91915">
      <w:pPr>
        <w:pStyle w:val="ListParagraph"/>
        <w:numPr>
          <w:ilvl w:val="0"/>
          <w:numId w:val="21"/>
        </w:numPr>
        <w:tabs>
          <w:tab w:val="left" w:pos="1217"/>
        </w:tabs>
        <w:spacing w:before="98"/>
      </w:pPr>
      <w:r w:rsidRPr="00A436E4">
        <w:t>underpinned by a commitment from all staff to provide a quality complaints service</w:t>
      </w:r>
    </w:p>
    <w:p w14:paraId="3EBD1873" w14:textId="77777777" w:rsidR="00F745D6" w:rsidRPr="0067786E" w:rsidRDefault="00F745D6" w:rsidP="00C91915">
      <w:pPr>
        <w:pStyle w:val="ListParagraph"/>
        <w:numPr>
          <w:ilvl w:val="0"/>
          <w:numId w:val="21"/>
        </w:numPr>
        <w:tabs>
          <w:tab w:val="left" w:pos="1217"/>
        </w:tabs>
        <w:spacing w:before="98"/>
      </w:pPr>
      <w:r w:rsidRPr="0067786E">
        <w:t>designed and delivered in a way that meets better practice principles</w:t>
      </w:r>
    </w:p>
    <w:p w14:paraId="775FC67F" w14:textId="77777777" w:rsidR="00F745D6" w:rsidRPr="00684A08" w:rsidRDefault="00F745D6" w:rsidP="00C91915">
      <w:pPr>
        <w:pStyle w:val="ListParagraph"/>
        <w:numPr>
          <w:ilvl w:val="0"/>
          <w:numId w:val="21"/>
        </w:numPr>
        <w:tabs>
          <w:tab w:val="left" w:pos="1217"/>
        </w:tabs>
        <w:spacing w:before="98" w:after="240"/>
      </w:pPr>
      <w:r w:rsidRPr="003B6939">
        <w:t xml:space="preserve">continuously </w:t>
      </w:r>
      <w:r w:rsidRPr="00684A08">
        <w:t>improving.</w:t>
      </w:r>
    </w:p>
    <w:p w14:paraId="304EE45C" w14:textId="2BF96128" w:rsidR="00F745D6" w:rsidRPr="00C91915" w:rsidRDefault="00F745D6" w:rsidP="00C91915">
      <w:pPr>
        <w:numPr>
          <w:ilvl w:val="0"/>
          <w:numId w:val="3"/>
        </w:numPr>
        <w:spacing w:before="99" w:after="240"/>
      </w:pPr>
      <w:r w:rsidRPr="00C91915">
        <w:t xml:space="preserve">There are eight steps to deliver a </w:t>
      </w:r>
      <w:r w:rsidR="00364CEE" w:rsidRPr="00C91915">
        <w:t>high-quality</w:t>
      </w:r>
      <w:r w:rsidRPr="00C91915">
        <w:t xml:space="preserve"> complaints service:</w:t>
      </w:r>
    </w:p>
    <w:p w14:paraId="5D9B5864" w14:textId="77777777" w:rsidR="00F745D6" w:rsidRPr="00A436E4" w:rsidRDefault="00F745D6" w:rsidP="00C91915">
      <w:pPr>
        <w:pStyle w:val="ListParagraph"/>
        <w:numPr>
          <w:ilvl w:val="0"/>
          <w:numId w:val="20"/>
        </w:numPr>
        <w:tabs>
          <w:tab w:val="left" w:pos="1217"/>
        </w:tabs>
        <w:spacing w:before="98"/>
      </w:pPr>
      <w:r w:rsidRPr="00A436E4">
        <w:t>Identify and log the complaint</w:t>
      </w:r>
    </w:p>
    <w:p w14:paraId="2B9ACC4C" w14:textId="77777777" w:rsidR="00F745D6" w:rsidRPr="0067786E" w:rsidRDefault="00F745D6" w:rsidP="00C91915">
      <w:pPr>
        <w:pStyle w:val="ListParagraph"/>
        <w:numPr>
          <w:ilvl w:val="0"/>
          <w:numId w:val="20"/>
        </w:numPr>
        <w:tabs>
          <w:tab w:val="left" w:pos="1217"/>
        </w:tabs>
        <w:spacing w:before="98"/>
      </w:pPr>
      <w:r w:rsidRPr="0067786E">
        <w:t>Acknowledge the complaint</w:t>
      </w:r>
    </w:p>
    <w:p w14:paraId="6C9C3C86" w14:textId="77777777" w:rsidR="00F745D6" w:rsidRPr="00684A08" w:rsidRDefault="00F745D6" w:rsidP="00C91915">
      <w:pPr>
        <w:pStyle w:val="ListParagraph"/>
        <w:numPr>
          <w:ilvl w:val="0"/>
          <w:numId w:val="20"/>
        </w:numPr>
        <w:tabs>
          <w:tab w:val="left" w:pos="1217"/>
        </w:tabs>
        <w:spacing w:before="98"/>
      </w:pPr>
      <w:r w:rsidRPr="003B6939">
        <w:t>Assess and triage</w:t>
      </w:r>
    </w:p>
    <w:p w14:paraId="40CAD45F" w14:textId="77777777" w:rsidR="00F745D6" w:rsidRPr="00684A08" w:rsidRDefault="00F745D6" w:rsidP="00C91915">
      <w:pPr>
        <w:pStyle w:val="ListParagraph"/>
        <w:numPr>
          <w:ilvl w:val="0"/>
          <w:numId w:val="20"/>
        </w:numPr>
        <w:tabs>
          <w:tab w:val="left" w:pos="1217"/>
        </w:tabs>
        <w:spacing w:before="98"/>
      </w:pPr>
      <w:r w:rsidRPr="00684A08">
        <w:t>Resolve early or investigate</w:t>
      </w:r>
    </w:p>
    <w:p w14:paraId="4042055F" w14:textId="77777777" w:rsidR="00F745D6" w:rsidRPr="00684A08" w:rsidRDefault="00F745D6" w:rsidP="00C91915">
      <w:pPr>
        <w:pStyle w:val="ListParagraph"/>
        <w:numPr>
          <w:ilvl w:val="0"/>
          <w:numId w:val="20"/>
        </w:numPr>
        <w:tabs>
          <w:tab w:val="left" w:pos="1217"/>
        </w:tabs>
        <w:spacing w:before="98"/>
      </w:pPr>
      <w:r w:rsidRPr="00684A08">
        <w:t>Consider potential remedies</w:t>
      </w:r>
    </w:p>
    <w:p w14:paraId="3FD4E494" w14:textId="77777777" w:rsidR="00F745D6" w:rsidRPr="00684A08" w:rsidRDefault="00F745D6" w:rsidP="00C91915">
      <w:pPr>
        <w:pStyle w:val="ListParagraph"/>
        <w:numPr>
          <w:ilvl w:val="0"/>
          <w:numId w:val="20"/>
        </w:numPr>
        <w:tabs>
          <w:tab w:val="left" w:pos="1217"/>
        </w:tabs>
        <w:spacing w:before="98"/>
      </w:pPr>
      <w:r w:rsidRPr="00684A08">
        <w:lastRenderedPageBreak/>
        <w:t>Communicate the outcome</w:t>
      </w:r>
    </w:p>
    <w:p w14:paraId="6551DE26" w14:textId="77777777" w:rsidR="00F745D6" w:rsidRPr="00684A08" w:rsidRDefault="00F745D6" w:rsidP="00C91915">
      <w:pPr>
        <w:pStyle w:val="ListParagraph"/>
        <w:numPr>
          <w:ilvl w:val="0"/>
          <w:numId w:val="20"/>
        </w:numPr>
        <w:tabs>
          <w:tab w:val="left" w:pos="1217"/>
        </w:tabs>
        <w:spacing w:before="98"/>
      </w:pPr>
      <w:r w:rsidRPr="00684A08">
        <w:t>Finalise or escalate</w:t>
      </w:r>
    </w:p>
    <w:p w14:paraId="10C45696" w14:textId="77777777" w:rsidR="00F745D6" w:rsidRPr="00684A08" w:rsidRDefault="00F745D6" w:rsidP="00C91915">
      <w:pPr>
        <w:pStyle w:val="ListParagraph"/>
        <w:numPr>
          <w:ilvl w:val="0"/>
          <w:numId w:val="20"/>
        </w:numPr>
        <w:tabs>
          <w:tab w:val="left" w:pos="1217"/>
        </w:tabs>
        <w:spacing w:before="98" w:after="240"/>
      </w:pPr>
      <w:r w:rsidRPr="00684A08">
        <w:t>Feedback systemic issues</w:t>
      </w:r>
    </w:p>
    <w:p w14:paraId="573A78DB" w14:textId="77777777" w:rsidR="00F745D6" w:rsidRPr="00C91915" w:rsidRDefault="00F745D6" w:rsidP="00C91915">
      <w:pPr>
        <w:numPr>
          <w:ilvl w:val="0"/>
          <w:numId w:val="3"/>
        </w:numPr>
        <w:spacing w:before="99" w:after="240"/>
      </w:pPr>
      <w:r w:rsidRPr="00C91915">
        <w:t>The</w:t>
      </w:r>
      <w:r w:rsidRPr="00F745D6">
        <w:rPr>
          <w:color w:val="404040"/>
        </w:rPr>
        <w:t xml:space="preserve"> </w:t>
      </w:r>
      <w:hyperlink r:id="rId14">
        <w:r w:rsidRPr="00F745D6">
          <w:rPr>
            <w:rStyle w:val="Hyperlink"/>
            <w:i/>
          </w:rPr>
          <w:t xml:space="preserve">Better Practice Guide to Complaint Handling </w:t>
        </w:r>
      </w:hyperlink>
      <w:r w:rsidRPr="00C91915">
        <w:t>provides useful guidance and should be referred to when considering complaints.</w:t>
      </w:r>
    </w:p>
    <w:p w14:paraId="793B4485" w14:textId="77777777" w:rsidR="00F745D6" w:rsidRPr="00C91915" w:rsidRDefault="00F745D6" w:rsidP="00C91915">
      <w:pPr>
        <w:pStyle w:val="Heading2"/>
        <w:rPr>
          <w:b w:val="0"/>
          <w:bCs w:val="0"/>
          <w:lang w:val="en-US"/>
        </w:rPr>
      </w:pPr>
      <w:bookmarkStart w:id="22" w:name="_Toc86059674"/>
      <w:r w:rsidRPr="00C91915">
        <w:rPr>
          <w:lang w:val="en-US"/>
        </w:rPr>
        <w:t>Managing Complaints within caseHQ</w:t>
      </w:r>
      <w:bookmarkEnd w:id="22"/>
    </w:p>
    <w:p w14:paraId="71C08FC9" w14:textId="7C2E3AD5" w:rsidR="00F745D6" w:rsidRPr="00C91915" w:rsidRDefault="00F745D6" w:rsidP="00C91915">
      <w:pPr>
        <w:numPr>
          <w:ilvl w:val="0"/>
          <w:numId w:val="3"/>
        </w:numPr>
        <w:spacing w:before="99"/>
      </w:pPr>
      <w:r w:rsidRPr="00C91915">
        <w:t>Fact Sheets are available on e</w:t>
      </w:r>
      <w:r w:rsidR="00C45608">
        <w:t>-h</w:t>
      </w:r>
      <w:r w:rsidRPr="00C91915">
        <w:t>ub to assist in the management of complaints within caseHQ. The facts sheets are modelled on the caseHQ workflows and provide a step-by-step guide to:</w:t>
      </w:r>
    </w:p>
    <w:p w14:paraId="338551F8" w14:textId="3D8D1A01" w:rsidR="00FE2D0D" w:rsidRDefault="00490896">
      <w:pPr>
        <w:pStyle w:val="ListParagraph"/>
        <w:numPr>
          <w:ilvl w:val="0"/>
          <w:numId w:val="21"/>
        </w:numPr>
        <w:tabs>
          <w:tab w:val="left" w:pos="1217"/>
        </w:tabs>
        <w:spacing w:before="98"/>
      </w:pPr>
      <w:hyperlink r:id="rId15" w:history="1">
        <w:r w:rsidR="00170712">
          <w:rPr>
            <w:rStyle w:val="Hyperlink"/>
          </w:rPr>
          <w:t>Creating</w:t>
        </w:r>
        <w:r w:rsidR="00FE2D0D" w:rsidRPr="00FE2D0D">
          <w:rPr>
            <w:rStyle w:val="Hyperlink"/>
          </w:rPr>
          <w:t xml:space="preserve"> a </w:t>
        </w:r>
        <w:r w:rsidR="00170712">
          <w:rPr>
            <w:rStyle w:val="Hyperlink"/>
          </w:rPr>
          <w:t xml:space="preserve">new </w:t>
        </w:r>
        <w:r w:rsidR="00FE2D0D" w:rsidRPr="00FE2D0D">
          <w:rPr>
            <w:rStyle w:val="Hyperlink"/>
          </w:rPr>
          <w:t>complaint file in caseHQ</w:t>
        </w:r>
      </w:hyperlink>
    </w:p>
    <w:p w14:paraId="0358FA66" w14:textId="6514A1FA" w:rsidR="00F745D6" w:rsidRPr="0067786E" w:rsidRDefault="00490896" w:rsidP="00C91915">
      <w:pPr>
        <w:pStyle w:val="ListParagraph"/>
        <w:numPr>
          <w:ilvl w:val="0"/>
          <w:numId w:val="21"/>
        </w:numPr>
        <w:tabs>
          <w:tab w:val="left" w:pos="1217"/>
        </w:tabs>
        <w:spacing w:before="98"/>
      </w:pPr>
      <w:hyperlink r:id="rId16" w:history="1">
        <w:r w:rsidR="00F745D6" w:rsidRPr="00FE2D0D">
          <w:rPr>
            <w:rStyle w:val="Hyperlink"/>
          </w:rPr>
          <w:t>Triaging (conducting an initial assessment) a complaint file</w:t>
        </w:r>
      </w:hyperlink>
    </w:p>
    <w:p w14:paraId="078ACF95" w14:textId="7C8FB43A" w:rsidR="00F745D6" w:rsidRPr="0067786E" w:rsidRDefault="00490896" w:rsidP="00C91915">
      <w:pPr>
        <w:pStyle w:val="ListParagraph"/>
        <w:numPr>
          <w:ilvl w:val="0"/>
          <w:numId w:val="21"/>
        </w:numPr>
        <w:tabs>
          <w:tab w:val="left" w:pos="1217"/>
        </w:tabs>
        <w:spacing w:before="98"/>
      </w:pPr>
      <w:hyperlink r:id="rId17" w:history="1">
        <w:r w:rsidR="00F745D6" w:rsidRPr="00FE2D0D">
          <w:rPr>
            <w:rStyle w:val="Hyperlink"/>
          </w:rPr>
          <w:t>Conduct</w:t>
        </w:r>
        <w:r w:rsidR="007901CB">
          <w:rPr>
            <w:rStyle w:val="Hyperlink"/>
          </w:rPr>
          <w:t xml:space="preserve"> and manage</w:t>
        </w:r>
        <w:r w:rsidR="00F745D6" w:rsidRPr="00FE2D0D">
          <w:rPr>
            <w:rStyle w:val="Hyperlink"/>
          </w:rPr>
          <w:t xml:space="preserve"> an investigation into a complaint file</w:t>
        </w:r>
      </w:hyperlink>
    </w:p>
    <w:p w14:paraId="734A4744" w14:textId="58CE6CBB" w:rsidR="00F745D6" w:rsidRDefault="00F745D6">
      <w:pPr>
        <w:numPr>
          <w:ilvl w:val="0"/>
          <w:numId w:val="3"/>
        </w:numPr>
        <w:spacing w:before="99" w:after="240"/>
      </w:pPr>
      <w:r w:rsidRPr="00C91915">
        <w:t xml:space="preserve">These processes do not relate to disclosures or complaints lodged under the </w:t>
      </w:r>
      <w:r w:rsidRPr="00C91915">
        <w:rPr>
          <w:i/>
          <w:iCs/>
        </w:rPr>
        <w:t>Public Interest Disclosure Act 2013</w:t>
      </w:r>
      <w:r w:rsidRPr="00C91915">
        <w:t>. Please refer to the Governance team for information on these complaints.</w:t>
      </w:r>
    </w:p>
    <w:p w14:paraId="0D325EAF" w14:textId="38A56679" w:rsidR="00391C90" w:rsidRPr="00DE7349" w:rsidRDefault="00391C90" w:rsidP="00391C90">
      <w:pPr>
        <w:numPr>
          <w:ilvl w:val="0"/>
          <w:numId w:val="3"/>
        </w:numPr>
        <w:spacing w:before="99" w:after="240"/>
      </w:pPr>
      <w:bookmarkStart w:id="23" w:name="_Hlk81223573"/>
      <w:bookmarkStart w:id="24" w:name="_Hlk83732721"/>
      <w:r>
        <w:t xml:space="preserve">As part of the triage process, LBI determines </w:t>
      </w:r>
      <w:proofErr w:type="gramStart"/>
      <w:r>
        <w:t>whether or not</w:t>
      </w:r>
      <w:proofErr w:type="gramEnd"/>
      <w:r>
        <w:t xml:space="preserve"> a complaint is ‘</w:t>
      </w:r>
      <w:r w:rsidR="00B531E6">
        <w:t>assessable</w:t>
      </w:r>
      <w:r>
        <w:t xml:space="preserve">’, </w:t>
      </w:r>
      <w:bookmarkStart w:id="25" w:name="_Hlk82175201"/>
      <w:r>
        <w:t>meaning that it fits within certain criteria. These will typically include complaints relating to a</w:t>
      </w:r>
      <w:r w:rsidRPr="00684A08">
        <w:t xml:space="preserve"> particular matter, such as a decision not to proceed with a prosecution, a sentence</w:t>
      </w:r>
      <w:r w:rsidRPr="00684A08">
        <w:rPr>
          <w:spacing w:val="-1"/>
        </w:rPr>
        <w:t xml:space="preserve"> </w:t>
      </w:r>
      <w:r w:rsidRPr="00684A08">
        <w:t>handed</w:t>
      </w:r>
      <w:r w:rsidRPr="00684A08">
        <w:rPr>
          <w:spacing w:val="-3"/>
        </w:rPr>
        <w:t xml:space="preserve"> </w:t>
      </w:r>
      <w:r w:rsidRPr="00684A08">
        <w:t>down</w:t>
      </w:r>
      <w:r w:rsidRPr="00684A08">
        <w:rPr>
          <w:spacing w:val="-3"/>
        </w:rPr>
        <w:t xml:space="preserve"> </w:t>
      </w:r>
      <w:r w:rsidRPr="00684A08">
        <w:t>or</w:t>
      </w:r>
      <w:r w:rsidRPr="00684A08">
        <w:rPr>
          <w:spacing w:val="-6"/>
        </w:rPr>
        <w:t xml:space="preserve"> </w:t>
      </w:r>
      <w:r w:rsidRPr="00684A08">
        <w:t>a</w:t>
      </w:r>
      <w:r w:rsidRPr="00684A08">
        <w:rPr>
          <w:spacing w:val="-1"/>
        </w:rPr>
        <w:t xml:space="preserve"> </w:t>
      </w:r>
      <w:r w:rsidRPr="00684A08">
        <w:t>decision</w:t>
      </w:r>
      <w:r w:rsidRPr="00684A08">
        <w:rPr>
          <w:spacing w:val="-5"/>
        </w:rPr>
        <w:t xml:space="preserve"> </w:t>
      </w:r>
      <w:r w:rsidRPr="00684A08">
        <w:t>not</w:t>
      </w:r>
      <w:r w:rsidRPr="00684A08">
        <w:rPr>
          <w:spacing w:val="-3"/>
        </w:rPr>
        <w:t xml:space="preserve"> </w:t>
      </w:r>
      <w:r w:rsidRPr="00684A08">
        <w:t>to</w:t>
      </w:r>
      <w:r w:rsidRPr="00684A08">
        <w:rPr>
          <w:spacing w:val="-3"/>
        </w:rPr>
        <w:t xml:space="preserve"> </w:t>
      </w:r>
      <w:r w:rsidRPr="00684A08">
        <w:t>appeal. It</w:t>
      </w:r>
      <w:r w:rsidRPr="00684A08">
        <w:rPr>
          <w:spacing w:val="-3"/>
        </w:rPr>
        <w:t xml:space="preserve"> </w:t>
      </w:r>
      <w:r w:rsidRPr="00684A08">
        <w:t>may</w:t>
      </w:r>
      <w:r w:rsidRPr="00684A08">
        <w:rPr>
          <w:spacing w:val="-3"/>
        </w:rPr>
        <w:t xml:space="preserve"> </w:t>
      </w:r>
      <w:r w:rsidRPr="00684A08">
        <w:t>also</w:t>
      </w:r>
      <w:r w:rsidRPr="00684A08">
        <w:rPr>
          <w:spacing w:val="-3"/>
        </w:rPr>
        <w:t xml:space="preserve"> </w:t>
      </w:r>
      <w:r w:rsidRPr="00684A08">
        <w:t>relate</w:t>
      </w:r>
      <w:r w:rsidRPr="00684A08">
        <w:rPr>
          <w:spacing w:val="-3"/>
        </w:rPr>
        <w:t xml:space="preserve"> </w:t>
      </w:r>
      <w:r w:rsidRPr="00684A08">
        <w:t>to</w:t>
      </w:r>
      <w:r w:rsidRPr="00684A08">
        <w:rPr>
          <w:spacing w:val="-2"/>
        </w:rPr>
        <w:t xml:space="preserve"> </w:t>
      </w:r>
      <w:r w:rsidRPr="00684A08">
        <w:t>the</w:t>
      </w:r>
      <w:r w:rsidRPr="00684A08">
        <w:rPr>
          <w:spacing w:val="-3"/>
        </w:rPr>
        <w:t xml:space="preserve"> </w:t>
      </w:r>
      <w:r w:rsidRPr="00684A08">
        <w:t>conduct</w:t>
      </w:r>
      <w:r w:rsidRPr="00684A08">
        <w:rPr>
          <w:spacing w:val="-3"/>
        </w:rPr>
        <w:t xml:space="preserve"> </w:t>
      </w:r>
      <w:r w:rsidRPr="00684A08">
        <w:t>of</w:t>
      </w:r>
      <w:r w:rsidRPr="00684A08">
        <w:rPr>
          <w:spacing w:val="-3"/>
        </w:rPr>
        <w:t xml:space="preserve"> </w:t>
      </w:r>
      <w:r w:rsidRPr="00684A08">
        <w:t>CDPP</w:t>
      </w:r>
      <w:r w:rsidRPr="00684A08">
        <w:rPr>
          <w:spacing w:val="-3"/>
        </w:rPr>
        <w:t xml:space="preserve"> </w:t>
      </w:r>
      <w:r w:rsidRPr="00684A08">
        <w:t>staff,</w:t>
      </w:r>
      <w:r w:rsidRPr="00684A08">
        <w:rPr>
          <w:spacing w:val="-4"/>
        </w:rPr>
        <w:t xml:space="preserve"> </w:t>
      </w:r>
      <w:r w:rsidRPr="00684A08">
        <w:t>including prosecutors, witness assistance service officers, administrative staff or members of the Bar briefed by the CDPP in a particular</w:t>
      </w:r>
      <w:r w:rsidRPr="00684A08">
        <w:rPr>
          <w:spacing w:val="-6"/>
        </w:rPr>
        <w:t xml:space="preserve"> </w:t>
      </w:r>
      <w:r w:rsidRPr="00684A08">
        <w:t>case</w:t>
      </w:r>
      <w:r>
        <w:t xml:space="preserve">. </w:t>
      </w:r>
      <w:bookmarkEnd w:id="25"/>
      <w:r w:rsidRPr="002E1D51">
        <w:t>It does not automatically follow that a submission that is determined to be a</w:t>
      </w:r>
      <w:r w:rsidR="00B531E6">
        <w:t>n</w:t>
      </w:r>
      <w:r w:rsidRPr="002E1D51">
        <w:t xml:space="preserve"> ‘</w:t>
      </w:r>
      <w:r w:rsidR="00B531E6">
        <w:t>assessable</w:t>
      </w:r>
      <w:r w:rsidRPr="002E1D51">
        <w:t xml:space="preserve"> complaint’ will </w:t>
      </w:r>
      <w:r>
        <w:t xml:space="preserve">or must </w:t>
      </w:r>
      <w:r w:rsidRPr="002E1D51">
        <w:t>be investigated. It is referred to the Practice Group Leader to determine whether an investigation will be commenced</w:t>
      </w:r>
      <w:bookmarkEnd w:id="23"/>
      <w:r w:rsidRPr="002E1D51">
        <w:t>.</w:t>
      </w:r>
    </w:p>
    <w:p w14:paraId="54429ECC" w14:textId="77777777" w:rsidR="00B45A2F" w:rsidRPr="00C91915" w:rsidRDefault="00B45A2F" w:rsidP="00C91915">
      <w:pPr>
        <w:pStyle w:val="Heading2"/>
        <w:rPr>
          <w:b w:val="0"/>
          <w:bCs w:val="0"/>
          <w:lang w:val="en-US"/>
        </w:rPr>
      </w:pPr>
      <w:bookmarkStart w:id="26" w:name="_Toc86059675"/>
      <w:bookmarkEnd w:id="24"/>
      <w:r w:rsidRPr="00C91915">
        <w:rPr>
          <w:lang w:val="en-US"/>
        </w:rPr>
        <w:t>Confidentiality of Complaints</w:t>
      </w:r>
      <w:bookmarkEnd w:id="26"/>
    </w:p>
    <w:p w14:paraId="1AD2D001" w14:textId="31DA23ED" w:rsidR="00B45A2F" w:rsidRPr="00A436E4" w:rsidRDefault="00B45A2F" w:rsidP="00C91915">
      <w:pPr>
        <w:pStyle w:val="BodyText"/>
        <w:numPr>
          <w:ilvl w:val="0"/>
          <w:numId w:val="3"/>
        </w:numPr>
        <w:spacing w:before="98"/>
      </w:pPr>
      <w:r w:rsidRPr="00C91915">
        <w:t>Regard</w:t>
      </w:r>
      <w:r w:rsidRPr="00C91915">
        <w:rPr>
          <w:spacing w:val="-4"/>
        </w:rPr>
        <w:t xml:space="preserve"> </w:t>
      </w:r>
      <w:r w:rsidRPr="00C91915">
        <w:t>should</w:t>
      </w:r>
      <w:r w:rsidRPr="00C91915">
        <w:rPr>
          <w:spacing w:val="-4"/>
        </w:rPr>
        <w:t xml:space="preserve"> </w:t>
      </w:r>
      <w:r w:rsidRPr="00C91915">
        <w:t>be</w:t>
      </w:r>
      <w:r w:rsidRPr="00C91915">
        <w:rPr>
          <w:spacing w:val="-5"/>
        </w:rPr>
        <w:t xml:space="preserve"> </w:t>
      </w:r>
      <w:r w:rsidRPr="00C91915">
        <w:t>had</w:t>
      </w:r>
      <w:r w:rsidRPr="00C91915">
        <w:rPr>
          <w:spacing w:val="-6"/>
        </w:rPr>
        <w:t xml:space="preserve"> </w:t>
      </w:r>
      <w:r w:rsidRPr="00C91915">
        <w:t>to</w:t>
      </w:r>
      <w:r w:rsidRPr="00C91915">
        <w:rPr>
          <w:spacing w:val="-4"/>
        </w:rPr>
        <w:t xml:space="preserve"> </w:t>
      </w:r>
      <w:r w:rsidRPr="00C91915">
        <w:t>the</w:t>
      </w:r>
      <w:r w:rsidRPr="00C91915">
        <w:rPr>
          <w:spacing w:val="-3"/>
        </w:rPr>
        <w:t xml:space="preserve"> </w:t>
      </w:r>
      <w:r w:rsidRPr="00C91915">
        <w:t>sensitivity</w:t>
      </w:r>
      <w:r w:rsidRPr="00C91915">
        <w:rPr>
          <w:spacing w:val="-4"/>
        </w:rPr>
        <w:t xml:space="preserve"> </w:t>
      </w:r>
      <w:r w:rsidRPr="00C91915">
        <w:t>of</w:t>
      </w:r>
      <w:r w:rsidRPr="00C91915">
        <w:rPr>
          <w:spacing w:val="-6"/>
        </w:rPr>
        <w:t xml:space="preserve"> </w:t>
      </w:r>
      <w:r w:rsidR="009A4C2D">
        <w:t>any</w:t>
      </w:r>
      <w:r w:rsidRPr="00C91915">
        <w:rPr>
          <w:spacing w:val="-4"/>
        </w:rPr>
        <w:t xml:space="preserve"> </w:t>
      </w:r>
      <w:r w:rsidRPr="00C91915">
        <w:t>complaint.</w:t>
      </w:r>
      <w:r w:rsidRPr="00C91915">
        <w:rPr>
          <w:spacing w:val="-3"/>
        </w:rPr>
        <w:t xml:space="preserve"> </w:t>
      </w:r>
      <w:r w:rsidRPr="00C91915">
        <w:t>Consideration</w:t>
      </w:r>
      <w:r w:rsidRPr="00C91915">
        <w:rPr>
          <w:spacing w:val="-6"/>
        </w:rPr>
        <w:t xml:space="preserve"> </w:t>
      </w:r>
      <w:r w:rsidRPr="00C91915">
        <w:t>of</w:t>
      </w:r>
      <w:r w:rsidRPr="00C91915">
        <w:rPr>
          <w:spacing w:val="-6"/>
        </w:rPr>
        <w:t xml:space="preserve"> </w:t>
      </w:r>
      <w:r w:rsidRPr="00C91915">
        <w:t>the</w:t>
      </w:r>
      <w:r w:rsidRPr="00C91915">
        <w:rPr>
          <w:spacing w:val="-6"/>
        </w:rPr>
        <w:t xml:space="preserve"> </w:t>
      </w:r>
      <w:r w:rsidRPr="00C91915">
        <w:t>material</w:t>
      </w:r>
      <w:r w:rsidRPr="00C91915">
        <w:rPr>
          <w:spacing w:val="-3"/>
        </w:rPr>
        <w:t xml:space="preserve"> </w:t>
      </w:r>
      <w:r w:rsidRPr="00C91915">
        <w:t>and</w:t>
      </w:r>
      <w:r w:rsidRPr="00C91915">
        <w:rPr>
          <w:spacing w:val="-6"/>
        </w:rPr>
        <w:t xml:space="preserve"> </w:t>
      </w:r>
      <w:r w:rsidRPr="00C91915">
        <w:t>allegations</w:t>
      </w:r>
      <w:r w:rsidRPr="00C91915">
        <w:rPr>
          <w:spacing w:val="-6"/>
        </w:rPr>
        <w:t xml:space="preserve"> </w:t>
      </w:r>
      <w:r w:rsidRPr="00C91915">
        <w:t>made will determine the level of confidentially required. Complaints dealing with allegations against staff of the CDPP,</w:t>
      </w:r>
      <w:r w:rsidRPr="00C91915">
        <w:rPr>
          <w:spacing w:val="-5"/>
        </w:rPr>
        <w:t xml:space="preserve"> </w:t>
      </w:r>
      <w:r w:rsidRPr="00C91915">
        <w:t>particularly</w:t>
      </w:r>
      <w:r w:rsidRPr="00C91915">
        <w:rPr>
          <w:spacing w:val="-1"/>
        </w:rPr>
        <w:t xml:space="preserve"> </w:t>
      </w:r>
      <w:r w:rsidRPr="00C91915">
        <w:t>in</w:t>
      </w:r>
      <w:r w:rsidRPr="00C91915">
        <w:rPr>
          <w:spacing w:val="-5"/>
        </w:rPr>
        <w:t xml:space="preserve"> </w:t>
      </w:r>
      <w:r w:rsidRPr="00C91915">
        <w:t>a</w:t>
      </w:r>
      <w:r w:rsidRPr="00C91915">
        <w:rPr>
          <w:spacing w:val="-3"/>
        </w:rPr>
        <w:t xml:space="preserve"> </w:t>
      </w:r>
      <w:r w:rsidRPr="00C91915">
        <w:t>personal</w:t>
      </w:r>
      <w:r w:rsidRPr="00C91915">
        <w:rPr>
          <w:spacing w:val="-5"/>
        </w:rPr>
        <w:t xml:space="preserve"> </w:t>
      </w:r>
      <w:r w:rsidRPr="00C91915">
        <w:t>capacity,</w:t>
      </w:r>
      <w:r w:rsidRPr="00C91915">
        <w:rPr>
          <w:spacing w:val="-3"/>
        </w:rPr>
        <w:t xml:space="preserve"> </w:t>
      </w:r>
      <w:r w:rsidRPr="00C91915">
        <w:t>should</w:t>
      </w:r>
      <w:r w:rsidRPr="00C91915">
        <w:rPr>
          <w:spacing w:val="-4"/>
        </w:rPr>
        <w:t xml:space="preserve"> </w:t>
      </w:r>
      <w:r w:rsidRPr="00C91915">
        <w:t>be handled</w:t>
      </w:r>
      <w:r w:rsidRPr="00C91915">
        <w:rPr>
          <w:spacing w:val="-3"/>
        </w:rPr>
        <w:t xml:space="preserve"> </w:t>
      </w:r>
      <w:r w:rsidRPr="00C91915">
        <w:t>with</w:t>
      </w:r>
      <w:r w:rsidRPr="00C91915">
        <w:rPr>
          <w:spacing w:val="-4"/>
        </w:rPr>
        <w:t xml:space="preserve"> </w:t>
      </w:r>
      <w:r w:rsidRPr="00C91915">
        <w:t>care</w:t>
      </w:r>
      <w:r w:rsidRPr="00C91915">
        <w:rPr>
          <w:spacing w:val="-3"/>
        </w:rPr>
        <w:t xml:space="preserve"> </w:t>
      </w:r>
      <w:r w:rsidRPr="00C91915">
        <w:t>to</w:t>
      </w:r>
      <w:r w:rsidRPr="00C91915">
        <w:rPr>
          <w:spacing w:val="-3"/>
        </w:rPr>
        <w:t xml:space="preserve"> </w:t>
      </w:r>
      <w:r w:rsidRPr="00C91915">
        <w:t>ensure</w:t>
      </w:r>
      <w:r w:rsidRPr="00C91915">
        <w:rPr>
          <w:spacing w:val="-3"/>
        </w:rPr>
        <w:t xml:space="preserve"> </w:t>
      </w:r>
      <w:r w:rsidRPr="00C91915">
        <w:t>the</w:t>
      </w:r>
      <w:r w:rsidRPr="00C91915">
        <w:rPr>
          <w:spacing w:val="-1"/>
        </w:rPr>
        <w:t xml:space="preserve"> </w:t>
      </w:r>
      <w:r w:rsidRPr="00C91915">
        <w:t>privacy</w:t>
      </w:r>
      <w:r w:rsidRPr="00C91915">
        <w:rPr>
          <w:spacing w:val="-5"/>
        </w:rPr>
        <w:t xml:space="preserve"> </w:t>
      </w:r>
      <w:r w:rsidRPr="00C91915">
        <w:t>of</w:t>
      </w:r>
      <w:r w:rsidRPr="00C91915">
        <w:rPr>
          <w:spacing w:val="-4"/>
        </w:rPr>
        <w:t xml:space="preserve"> </w:t>
      </w:r>
      <w:r w:rsidRPr="00C91915">
        <w:t>the</w:t>
      </w:r>
      <w:r w:rsidRPr="00C91915">
        <w:rPr>
          <w:spacing w:val="-4"/>
        </w:rPr>
        <w:t xml:space="preserve"> </w:t>
      </w:r>
      <w:r w:rsidRPr="00C91915">
        <w:t>individual is respected.</w:t>
      </w:r>
    </w:p>
    <w:p w14:paraId="24826C50" w14:textId="07D047EE" w:rsidR="00B45A2F" w:rsidRPr="0067786E" w:rsidRDefault="00B45A2F" w:rsidP="00C91915">
      <w:pPr>
        <w:pStyle w:val="BodyText"/>
        <w:numPr>
          <w:ilvl w:val="0"/>
          <w:numId w:val="3"/>
        </w:numPr>
        <w:spacing w:before="98"/>
      </w:pPr>
      <w:r w:rsidRPr="00A436E4">
        <w:t>Within caseHQ, file restrictions are applied to complaint files, automatically restricting access to LBI staff,</w:t>
      </w:r>
      <w:r w:rsidRPr="0067786E">
        <w:t xml:space="preserve"> the CSPP and the Director when a complaint file is opened. Any further access (including to the PGL) does not automatically occur when the file is opened.</w:t>
      </w:r>
      <w:r w:rsidR="00720C88" w:rsidRPr="00720C88">
        <w:t xml:space="preserve"> </w:t>
      </w:r>
      <w:r w:rsidR="00720C88">
        <w:t xml:space="preserve">LBI will request access </w:t>
      </w:r>
      <w:r w:rsidR="00720C88" w:rsidRPr="00684A08">
        <w:t xml:space="preserve">via the File Restriction Request template available in caseHQ </w:t>
      </w:r>
      <w:r w:rsidR="00720C88">
        <w:t>for the PGL as part of the triage process.</w:t>
      </w:r>
    </w:p>
    <w:p w14:paraId="3A820A83" w14:textId="7EAA1DB8" w:rsidR="00B45A2F" w:rsidRPr="00684A08" w:rsidRDefault="00B45A2F" w:rsidP="00C91915">
      <w:pPr>
        <w:pStyle w:val="BodyText"/>
        <w:numPr>
          <w:ilvl w:val="0"/>
          <w:numId w:val="3"/>
        </w:numPr>
        <w:spacing w:before="98" w:after="240"/>
      </w:pPr>
      <w:r w:rsidRPr="003B6939">
        <w:t xml:space="preserve">The PGL for the Practice Group to which the complaint relates will decide who </w:t>
      </w:r>
      <w:r w:rsidR="00720C88">
        <w:t xml:space="preserve">else </w:t>
      </w:r>
      <w:r w:rsidRPr="003B6939">
        <w:t xml:space="preserve">should have access to </w:t>
      </w:r>
      <w:r w:rsidRPr="00684A08">
        <w:t>the complaint file in caseHQ</w:t>
      </w:r>
      <w:r w:rsidR="00720C88">
        <w:t xml:space="preserve">. </w:t>
      </w:r>
      <w:r w:rsidRPr="00684A08">
        <w:t xml:space="preserve">When additional staff need to be given access, such as </w:t>
      </w:r>
      <w:r w:rsidR="00251BEC">
        <w:t>a</w:t>
      </w:r>
      <w:r w:rsidRPr="00684A08">
        <w:t xml:space="preserve"> Branch Head assisting with the investigation into a complaint, a request should be sent</w:t>
      </w:r>
      <w:r w:rsidR="00720C88">
        <w:t xml:space="preserve"> (approved by the PGL) </w:t>
      </w:r>
      <w:r w:rsidRPr="00684A08">
        <w:t>to LBI to facilitate this access.</w:t>
      </w:r>
    </w:p>
    <w:p w14:paraId="3185C147" w14:textId="1D3D46BB" w:rsidR="00F745D6" w:rsidRPr="00C91915" w:rsidRDefault="00F745D6" w:rsidP="00C91915">
      <w:pPr>
        <w:pStyle w:val="Heading2"/>
        <w:rPr>
          <w:lang w:val="en-US"/>
        </w:rPr>
      </w:pPr>
      <w:bookmarkStart w:id="27" w:name="_Toc86059676"/>
      <w:r w:rsidRPr="00C91915">
        <w:rPr>
          <w:lang w:val="en-US"/>
        </w:rPr>
        <w:t>Reflection on CDPP policies or practices</w:t>
      </w:r>
      <w:bookmarkEnd w:id="27"/>
    </w:p>
    <w:p w14:paraId="6AD73C98" w14:textId="3E3D03AC" w:rsidR="005441EA" w:rsidRPr="00A436E4" w:rsidRDefault="0035058A" w:rsidP="00C91915">
      <w:pPr>
        <w:pStyle w:val="BodyText"/>
        <w:numPr>
          <w:ilvl w:val="0"/>
          <w:numId w:val="3"/>
        </w:numPr>
        <w:spacing w:after="240"/>
      </w:pPr>
      <w:r w:rsidRPr="00C91915">
        <w:t xml:space="preserve">If the complaint identifies a systemic issue where consideration of changes to national practice or policy is needed, a report will be prepared by LBI for the Executive Leadership Group’s (ELG) consideration. If, </w:t>
      </w:r>
      <w:proofErr w:type="gramStart"/>
      <w:r w:rsidRPr="00C91915">
        <w:t>as a result of</w:t>
      </w:r>
      <w:proofErr w:type="gramEnd"/>
      <w:r w:rsidRPr="00C91915">
        <w:t xml:space="preserve"> considering the issues raised, the ELG is of the view that changes to the Office’s practice or policies is required, consultation should occur with LBI.</w:t>
      </w:r>
    </w:p>
    <w:p w14:paraId="667064FA" w14:textId="33B5A9DB" w:rsidR="005441EA" w:rsidRPr="00C91915" w:rsidRDefault="0035058A" w:rsidP="00C91915">
      <w:pPr>
        <w:pStyle w:val="BodyText"/>
        <w:numPr>
          <w:ilvl w:val="0"/>
          <w:numId w:val="3"/>
        </w:numPr>
        <w:spacing w:before="56"/>
      </w:pPr>
      <w:r w:rsidRPr="008D2185">
        <w:t>In addition, LBI will conduct an annual review of complaints with a view to identifying possible systemic or recurrent issues and problems that require further investigation and possible action by the CDPP on a ‘whole</w:t>
      </w:r>
      <w:r w:rsidR="00503297">
        <w:t xml:space="preserve"> </w:t>
      </w:r>
      <w:r w:rsidRPr="00C91915">
        <w:t xml:space="preserve">of agency’ basis in an endeavour to improve its efficiency and effectiveness. Having conducted </w:t>
      </w:r>
      <w:r w:rsidRPr="00C91915">
        <w:lastRenderedPageBreak/>
        <w:t>an annual review LBI will submit a report of its findings to ELG each June.</w:t>
      </w:r>
    </w:p>
    <w:p w14:paraId="2E616F77" w14:textId="77777777" w:rsidR="005441EA" w:rsidRPr="00C91915" w:rsidRDefault="0035058A" w:rsidP="00C91915">
      <w:pPr>
        <w:pStyle w:val="Heading2"/>
        <w:rPr>
          <w:b w:val="0"/>
          <w:lang w:val="en-US"/>
        </w:rPr>
      </w:pPr>
      <w:bookmarkStart w:id="28" w:name="_Toc86059677"/>
      <w:r w:rsidRPr="00C91915">
        <w:rPr>
          <w:lang w:val="en-US"/>
        </w:rPr>
        <w:t>Publication of Complaints Data</w:t>
      </w:r>
      <w:bookmarkEnd w:id="28"/>
    </w:p>
    <w:p w14:paraId="38789C0F" w14:textId="0607B974" w:rsidR="00F85A6E" w:rsidRPr="00C91915" w:rsidRDefault="00F85A6E" w:rsidP="00C91915">
      <w:pPr>
        <w:pStyle w:val="BodyText"/>
        <w:numPr>
          <w:ilvl w:val="0"/>
          <w:numId w:val="3"/>
        </w:numPr>
      </w:pPr>
      <w:r w:rsidRPr="00C91915">
        <w:t>LBI reports to the Executive Leadership Group (ELG) statistical information regarding complaints and feedback received each financial year. The data is also included in the Annual Report.</w:t>
      </w:r>
    </w:p>
    <w:p w14:paraId="7CEBC96D" w14:textId="5E953A1D" w:rsidR="005441EA" w:rsidRDefault="005441EA" w:rsidP="00C91915">
      <w:pPr>
        <w:tabs>
          <w:tab w:val="left" w:pos="1294"/>
        </w:tabs>
        <w:spacing w:before="102"/>
        <w:ind w:left="932"/>
      </w:pPr>
    </w:p>
    <w:sectPr w:rsidR="005441EA" w:rsidSect="00684A08">
      <w:headerReference w:type="even" r:id="rId18"/>
      <w:headerReference w:type="default" r:id="rId19"/>
      <w:footerReference w:type="even" r:id="rId20"/>
      <w:footerReference w:type="default" r:id="rId21"/>
      <w:headerReference w:type="first" r:id="rId22"/>
      <w:footerReference w:type="first" r:id="rId23"/>
      <w:pgSz w:w="11910" w:h="16840"/>
      <w:pgMar w:top="1021" w:right="1134" w:bottom="1134" w:left="1134" w:header="595" w:footer="59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71B30" w14:textId="77777777" w:rsidR="004966C9" w:rsidRDefault="004966C9">
      <w:r>
        <w:separator/>
      </w:r>
    </w:p>
  </w:endnote>
  <w:endnote w:type="continuationSeparator" w:id="0">
    <w:p w14:paraId="32223392" w14:textId="77777777" w:rsidR="004966C9" w:rsidRDefault="0049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6B801" w14:textId="77777777" w:rsidR="00AD0B54" w:rsidRDefault="00AD0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C251E" w14:textId="77777777" w:rsidR="00AD0B54" w:rsidRDefault="00AD0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9D933" w14:textId="77777777" w:rsidR="00AD0B54" w:rsidRDefault="00AD0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FE4D8" w14:textId="77777777" w:rsidR="004966C9" w:rsidRDefault="004966C9">
      <w:r>
        <w:separator/>
      </w:r>
    </w:p>
  </w:footnote>
  <w:footnote w:type="continuationSeparator" w:id="0">
    <w:p w14:paraId="2FA450FD" w14:textId="77777777" w:rsidR="004966C9" w:rsidRDefault="004966C9">
      <w:r>
        <w:continuationSeparator/>
      </w:r>
    </w:p>
  </w:footnote>
  <w:footnote w:id="1">
    <w:p w14:paraId="02689F12" w14:textId="467427F6" w:rsidR="004966C9" w:rsidRDefault="004966C9" w:rsidP="00684A08">
      <w:pPr>
        <w:pStyle w:val="FootnoteText"/>
        <w:ind w:right="797"/>
      </w:pPr>
      <w:r>
        <w:rPr>
          <w:rStyle w:val="FootnoteReference"/>
        </w:rPr>
        <w:footnoteRef/>
      </w:r>
      <w:r>
        <w:t xml:space="preserve"> </w:t>
      </w:r>
      <w:r>
        <w:rPr>
          <w:color w:val="404040"/>
          <w:sz w:val="16"/>
        </w:rPr>
        <w:t>The complaints mechanism is a separate mechanism from, and subsequent in time to, the process available to some victims in relation to the internal review of certain decisions in the prosecution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2BA11" w14:textId="77777777" w:rsidR="00AD0B54" w:rsidRDefault="00AD0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48C5C" w14:textId="77777777" w:rsidR="004966C9" w:rsidRDefault="004966C9" w:rsidP="004454ED">
    <w:pPr>
      <w:pStyle w:val="Header"/>
      <w:tabs>
        <w:tab w:val="clear" w:pos="9026"/>
        <w:tab w:val="right" w:pos="9639"/>
      </w:tabs>
      <w:jc w:val="right"/>
    </w:pPr>
  </w:p>
  <w:p w14:paraId="6D396DF3" w14:textId="77777777" w:rsidR="004966C9" w:rsidRPr="00804DE0" w:rsidRDefault="004966C9" w:rsidP="004454ED">
    <w:pPr>
      <w:pStyle w:val="Header"/>
      <w:tabs>
        <w:tab w:val="clear" w:pos="9026"/>
        <w:tab w:val="right" w:pos="9639"/>
      </w:tabs>
      <w:jc w:val="right"/>
    </w:pPr>
    <w:r>
      <w:t>National Legal Direction</w:t>
    </w:r>
  </w:p>
  <w:p w14:paraId="4F3BFCE3" w14:textId="044C8A46" w:rsidR="004966C9" w:rsidRDefault="004966C9" w:rsidP="00684A08">
    <w:pPr>
      <w:pStyle w:val="Header"/>
      <w:pBdr>
        <w:bottom w:val="single" w:sz="4" w:space="1" w:color="BCCF00"/>
      </w:pBdr>
      <w:tabs>
        <w:tab w:val="clear" w:pos="9026"/>
        <w:tab w:val="right" w:pos="9639"/>
      </w:tabs>
      <w:rPr>
        <w:b/>
      </w:rPr>
    </w:pPr>
    <w:r w:rsidRPr="00A61D41">
      <w:rPr>
        <w:b/>
      </w:rPr>
      <w:t xml:space="preserve">Last </w:t>
    </w:r>
    <w:r>
      <w:rPr>
        <w:b/>
      </w:rPr>
      <w:t>u</w:t>
    </w:r>
    <w:r w:rsidRPr="00A61D41">
      <w:rPr>
        <w:b/>
      </w:rPr>
      <w:t>pdate:</w:t>
    </w:r>
    <w:r>
      <w:rPr>
        <w:b/>
      </w:rPr>
      <w:t xml:space="preserve"> </w:t>
    </w:r>
    <w:r w:rsidR="00AD0B54">
      <w:rPr>
        <w:b/>
      </w:rPr>
      <w:t xml:space="preserve">October </w:t>
    </w:r>
    <w:r>
      <w:rPr>
        <w:b/>
      </w:rPr>
      <w:t xml:space="preserve">2021                                                                                          </w:t>
    </w:r>
    <w:r w:rsidR="00CE0F12">
      <w:rPr>
        <w:b/>
      </w:rPr>
      <w:t xml:space="preserve"> </w:t>
    </w:r>
    <w:r w:rsidR="00AD0B54">
      <w:rPr>
        <w:b/>
      </w:rPr>
      <w:t xml:space="preserve">      </w:t>
    </w:r>
    <w:r>
      <w:rPr>
        <w:b/>
      </w:rPr>
      <w:t xml:space="preserve"> Feedback and Complaints</w:t>
    </w:r>
  </w:p>
  <w:p w14:paraId="36FA6B77" w14:textId="77777777" w:rsidR="004966C9" w:rsidRDefault="004966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FAA9" w14:textId="77777777" w:rsidR="00AD0B54" w:rsidRDefault="00AD0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0FF4"/>
    <w:multiLevelType w:val="hybridMultilevel"/>
    <w:tmpl w:val="810C1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6385A"/>
    <w:multiLevelType w:val="hybridMultilevel"/>
    <w:tmpl w:val="3E245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E25CD"/>
    <w:multiLevelType w:val="hybridMultilevel"/>
    <w:tmpl w:val="A1B060AC"/>
    <w:lvl w:ilvl="0" w:tplc="0C09000F">
      <w:start w:val="1"/>
      <w:numFmt w:val="decimal"/>
      <w:lvlText w:val="%1."/>
      <w:lvlJc w:val="left"/>
      <w:pPr>
        <w:ind w:left="1652" w:hanging="360"/>
      </w:pPr>
    </w:lvl>
    <w:lvl w:ilvl="1" w:tplc="0C090019" w:tentative="1">
      <w:start w:val="1"/>
      <w:numFmt w:val="lowerLetter"/>
      <w:lvlText w:val="%2."/>
      <w:lvlJc w:val="left"/>
      <w:pPr>
        <w:ind w:left="2372" w:hanging="360"/>
      </w:pPr>
    </w:lvl>
    <w:lvl w:ilvl="2" w:tplc="0C09001B" w:tentative="1">
      <w:start w:val="1"/>
      <w:numFmt w:val="lowerRoman"/>
      <w:lvlText w:val="%3."/>
      <w:lvlJc w:val="right"/>
      <w:pPr>
        <w:ind w:left="3092" w:hanging="180"/>
      </w:pPr>
    </w:lvl>
    <w:lvl w:ilvl="3" w:tplc="0C09000F" w:tentative="1">
      <w:start w:val="1"/>
      <w:numFmt w:val="decimal"/>
      <w:lvlText w:val="%4."/>
      <w:lvlJc w:val="left"/>
      <w:pPr>
        <w:ind w:left="3812" w:hanging="360"/>
      </w:pPr>
    </w:lvl>
    <w:lvl w:ilvl="4" w:tplc="0C090019" w:tentative="1">
      <w:start w:val="1"/>
      <w:numFmt w:val="lowerLetter"/>
      <w:lvlText w:val="%5."/>
      <w:lvlJc w:val="left"/>
      <w:pPr>
        <w:ind w:left="4532" w:hanging="360"/>
      </w:pPr>
    </w:lvl>
    <w:lvl w:ilvl="5" w:tplc="0C09001B" w:tentative="1">
      <w:start w:val="1"/>
      <w:numFmt w:val="lowerRoman"/>
      <w:lvlText w:val="%6."/>
      <w:lvlJc w:val="right"/>
      <w:pPr>
        <w:ind w:left="5252" w:hanging="180"/>
      </w:pPr>
    </w:lvl>
    <w:lvl w:ilvl="6" w:tplc="0C09000F" w:tentative="1">
      <w:start w:val="1"/>
      <w:numFmt w:val="decimal"/>
      <w:lvlText w:val="%7."/>
      <w:lvlJc w:val="left"/>
      <w:pPr>
        <w:ind w:left="5972" w:hanging="360"/>
      </w:pPr>
    </w:lvl>
    <w:lvl w:ilvl="7" w:tplc="0C090019" w:tentative="1">
      <w:start w:val="1"/>
      <w:numFmt w:val="lowerLetter"/>
      <w:lvlText w:val="%8."/>
      <w:lvlJc w:val="left"/>
      <w:pPr>
        <w:ind w:left="6692" w:hanging="360"/>
      </w:pPr>
    </w:lvl>
    <w:lvl w:ilvl="8" w:tplc="0C09001B" w:tentative="1">
      <w:start w:val="1"/>
      <w:numFmt w:val="lowerRoman"/>
      <w:lvlText w:val="%9."/>
      <w:lvlJc w:val="right"/>
      <w:pPr>
        <w:ind w:left="7412" w:hanging="180"/>
      </w:pPr>
    </w:lvl>
  </w:abstractNum>
  <w:abstractNum w:abstractNumId="3" w15:restartNumberingAfterBreak="0">
    <w:nsid w:val="14221E03"/>
    <w:multiLevelType w:val="hybridMultilevel"/>
    <w:tmpl w:val="0BF03B7A"/>
    <w:lvl w:ilvl="0" w:tplc="0C090001">
      <w:start w:val="1"/>
      <w:numFmt w:val="bullet"/>
      <w:lvlText w:val=""/>
      <w:lvlJc w:val="left"/>
      <w:pPr>
        <w:ind w:left="720" w:hanging="360"/>
      </w:pPr>
      <w:rPr>
        <w:rFonts w:ascii="Symbol" w:hAnsi="Symbol" w:hint="default"/>
        <w:b w:val="0"/>
        <w:bCs/>
        <w:i w:val="0"/>
        <w:iCs/>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F6296A"/>
    <w:multiLevelType w:val="hybridMultilevel"/>
    <w:tmpl w:val="17A2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946D0A"/>
    <w:multiLevelType w:val="hybridMultilevel"/>
    <w:tmpl w:val="B6B6F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7A3DD6"/>
    <w:multiLevelType w:val="hybridMultilevel"/>
    <w:tmpl w:val="D7F68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7723B0"/>
    <w:multiLevelType w:val="hybridMultilevel"/>
    <w:tmpl w:val="9834B2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FB100B"/>
    <w:multiLevelType w:val="hybridMultilevel"/>
    <w:tmpl w:val="435A691E"/>
    <w:lvl w:ilvl="0" w:tplc="32B822C0">
      <w:start w:val="1"/>
      <w:numFmt w:val="decimal"/>
      <w:lvlText w:val="%1."/>
      <w:lvlJc w:val="left"/>
      <w:pPr>
        <w:ind w:left="1293" w:hanging="361"/>
      </w:pPr>
      <w:rPr>
        <w:rFonts w:hint="default"/>
        <w:b/>
        <w:bCs/>
        <w:w w:val="100"/>
        <w:lang w:val="en-AU" w:eastAsia="en-AU" w:bidi="en-AU"/>
      </w:rPr>
    </w:lvl>
    <w:lvl w:ilvl="1" w:tplc="ACE42316">
      <w:numFmt w:val="bullet"/>
      <w:lvlText w:val="•"/>
      <w:lvlJc w:val="left"/>
      <w:pPr>
        <w:ind w:left="2326" w:hanging="361"/>
      </w:pPr>
      <w:rPr>
        <w:rFonts w:hint="default"/>
        <w:lang w:val="en-AU" w:eastAsia="en-AU" w:bidi="en-AU"/>
      </w:rPr>
    </w:lvl>
    <w:lvl w:ilvl="2" w:tplc="5D364F4A">
      <w:numFmt w:val="bullet"/>
      <w:lvlText w:val="•"/>
      <w:lvlJc w:val="left"/>
      <w:pPr>
        <w:ind w:left="3353" w:hanging="361"/>
      </w:pPr>
      <w:rPr>
        <w:rFonts w:hint="default"/>
        <w:lang w:val="en-AU" w:eastAsia="en-AU" w:bidi="en-AU"/>
      </w:rPr>
    </w:lvl>
    <w:lvl w:ilvl="3" w:tplc="2B3E5F80">
      <w:numFmt w:val="bullet"/>
      <w:lvlText w:val="•"/>
      <w:lvlJc w:val="left"/>
      <w:pPr>
        <w:ind w:left="4379" w:hanging="361"/>
      </w:pPr>
      <w:rPr>
        <w:rFonts w:hint="default"/>
        <w:lang w:val="en-AU" w:eastAsia="en-AU" w:bidi="en-AU"/>
      </w:rPr>
    </w:lvl>
    <w:lvl w:ilvl="4" w:tplc="14DA5D78">
      <w:numFmt w:val="bullet"/>
      <w:lvlText w:val="•"/>
      <w:lvlJc w:val="left"/>
      <w:pPr>
        <w:ind w:left="5406" w:hanging="361"/>
      </w:pPr>
      <w:rPr>
        <w:rFonts w:hint="default"/>
        <w:lang w:val="en-AU" w:eastAsia="en-AU" w:bidi="en-AU"/>
      </w:rPr>
    </w:lvl>
    <w:lvl w:ilvl="5" w:tplc="182E0614">
      <w:numFmt w:val="bullet"/>
      <w:lvlText w:val="•"/>
      <w:lvlJc w:val="left"/>
      <w:pPr>
        <w:ind w:left="6433" w:hanging="361"/>
      </w:pPr>
      <w:rPr>
        <w:rFonts w:hint="default"/>
        <w:lang w:val="en-AU" w:eastAsia="en-AU" w:bidi="en-AU"/>
      </w:rPr>
    </w:lvl>
    <w:lvl w:ilvl="6" w:tplc="7AA2F404">
      <w:numFmt w:val="bullet"/>
      <w:lvlText w:val="•"/>
      <w:lvlJc w:val="left"/>
      <w:pPr>
        <w:ind w:left="7459" w:hanging="361"/>
      </w:pPr>
      <w:rPr>
        <w:rFonts w:hint="default"/>
        <w:lang w:val="en-AU" w:eastAsia="en-AU" w:bidi="en-AU"/>
      </w:rPr>
    </w:lvl>
    <w:lvl w:ilvl="7" w:tplc="D4987626">
      <w:numFmt w:val="bullet"/>
      <w:lvlText w:val="•"/>
      <w:lvlJc w:val="left"/>
      <w:pPr>
        <w:ind w:left="8486" w:hanging="361"/>
      </w:pPr>
      <w:rPr>
        <w:rFonts w:hint="default"/>
        <w:lang w:val="en-AU" w:eastAsia="en-AU" w:bidi="en-AU"/>
      </w:rPr>
    </w:lvl>
    <w:lvl w:ilvl="8" w:tplc="277AED3A">
      <w:numFmt w:val="bullet"/>
      <w:lvlText w:val="•"/>
      <w:lvlJc w:val="left"/>
      <w:pPr>
        <w:ind w:left="9513" w:hanging="361"/>
      </w:pPr>
      <w:rPr>
        <w:rFonts w:hint="default"/>
        <w:lang w:val="en-AU" w:eastAsia="en-AU" w:bidi="en-AU"/>
      </w:rPr>
    </w:lvl>
  </w:abstractNum>
  <w:abstractNum w:abstractNumId="9" w15:restartNumberingAfterBreak="0">
    <w:nsid w:val="353854A9"/>
    <w:multiLevelType w:val="hybridMultilevel"/>
    <w:tmpl w:val="502AC03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F52787F"/>
    <w:multiLevelType w:val="hybridMultilevel"/>
    <w:tmpl w:val="C9A6A108"/>
    <w:lvl w:ilvl="0" w:tplc="F6AE2E86">
      <w:start w:val="1"/>
      <w:numFmt w:val="decimal"/>
      <w:lvlText w:val="%1."/>
      <w:lvlJc w:val="left"/>
      <w:pPr>
        <w:ind w:left="1652" w:hanging="360"/>
      </w:pPr>
      <w:rPr>
        <w:rFonts w:asciiTheme="minorHAnsi" w:hAnsiTheme="minorHAnsi" w:cstheme="minorHAnsi" w:hint="default"/>
        <w:b w:val="0"/>
        <w:bCs/>
        <w:i w:val="0"/>
        <w:iCs/>
        <w:sz w:val="22"/>
        <w:szCs w:val="22"/>
      </w:rPr>
    </w:lvl>
    <w:lvl w:ilvl="1" w:tplc="0C090019" w:tentative="1">
      <w:start w:val="1"/>
      <w:numFmt w:val="lowerLetter"/>
      <w:lvlText w:val="%2."/>
      <w:lvlJc w:val="left"/>
      <w:pPr>
        <w:ind w:left="2372" w:hanging="360"/>
      </w:pPr>
    </w:lvl>
    <w:lvl w:ilvl="2" w:tplc="0C09001B" w:tentative="1">
      <w:start w:val="1"/>
      <w:numFmt w:val="lowerRoman"/>
      <w:lvlText w:val="%3."/>
      <w:lvlJc w:val="right"/>
      <w:pPr>
        <w:ind w:left="3092" w:hanging="180"/>
      </w:pPr>
    </w:lvl>
    <w:lvl w:ilvl="3" w:tplc="0C09000F" w:tentative="1">
      <w:start w:val="1"/>
      <w:numFmt w:val="decimal"/>
      <w:lvlText w:val="%4."/>
      <w:lvlJc w:val="left"/>
      <w:pPr>
        <w:ind w:left="3812" w:hanging="360"/>
      </w:pPr>
    </w:lvl>
    <w:lvl w:ilvl="4" w:tplc="0C090019" w:tentative="1">
      <w:start w:val="1"/>
      <w:numFmt w:val="lowerLetter"/>
      <w:lvlText w:val="%5."/>
      <w:lvlJc w:val="left"/>
      <w:pPr>
        <w:ind w:left="4532" w:hanging="360"/>
      </w:pPr>
    </w:lvl>
    <w:lvl w:ilvl="5" w:tplc="0C09001B" w:tentative="1">
      <w:start w:val="1"/>
      <w:numFmt w:val="lowerRoman"/>
      <w:lvlText w:val="%6."/>
      <w:lvlJc w:val="right"/>
      <w:pPr>
        <w:ind w:left="5252" w:hanging="180"/>
      </w:pPr>
    </w:lvl>
    <w:lvl w:ilvl="6" w:tplc="0C09000F" w:tentative="1">
      <w:start w:val="1"/>
      <w:numFmt w:val="decimal"/>
      <w:lvlText w:val="%7."/>
      <w:lvlJc w:val="left"/>
      <w:pPr>
        <w:ind w:left="5972" w:hanging="360"/>
      </w:pPr>
    </w:lvl>
    <w:lvl w:ilvl="7" w:tplc="0C090019" w:tentative="1">
      <w:start w:val="1"/>
      <w:numFmt w:val="lowerLetter"/>
      <w:lvlText w:val="%8."/>
      <w:lvlJc w:val="left"/>
      <w:pPr>
        <w:ind w:left="6692" w:hanging="360"/>
      </w:pPr>
    </w:lvl>
    <w:lvl w:ilvl="8" w:tplc="0C09001B" w:tentative="1">
      <w:start w:val="1"/>
      <w:numFmt w:val="lowerRoman"/>
      <w:lvlText w:val="%9."/>
      <w:lvlJc w:val="right"/>
      <w:pPr>
        <w:ind w:left="7412" w:hanging="180"/>
      </w:pPr>
    </w:lvl>
  </w:abstractNum>
  <w:abstractNum w:abstractNumId="11" w15:restartNumberingAfterBreak="0">
    <w:nsid w:val="404D1D65"/>
    <w:multiLevelType w:val="hybridMultilevel"/>
    <w:tmpl w:val="BB1CAD6C"/>
    <w:lvl w:ilvl="0" w:tplc="F6AE2E86">
      <w:start w:val="1"/>
      <w:numFmt w:val="decimal"/>
      <w:lvlText w:val="%1."/>
      <w:lvlJc w:val="left"/>
      <w:pPr>
        <w:ind w:left="720" w:hanging="360"/>
      </w:pPr>
      <w:rPr>
        <w:rFonts w:asciiTheme="minorHAnsi" w:hAnsiTheme="minorHAnsi" w:cstheme="minorHAnsi" w:hint="default"/>
        <w:b w:val="0"/>
        <w:bCs/>
        <w:i w:val="0"/>
        <w:iCs/>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7A70BD"/>
    <w:multiLevelType w:val="hybridMultilevel"/>
    <w:tmpl w:val="BB949250"/>
    <w:lvl w:ilvl="0" w:tplc="90521790">
      <w:numFmt w:val="bullet"/>
      <w:lvlText w:val=""/>
      <w:lvlJc w:val="left"/>
      <w:pPr>
        <w:ind w:left="1216" w:hanging="284"/>
      </w:pPr>
      <w:rPr>
        <w:rFonts w:ascii="Symbol" w:eastAsia="Symbol" w:hAnsi="Symbol" w:cs="Symbol" w:hint="default"/>
        <w:b/>
        <w:bCs/>
        <w:color w:val="404040"/>
        <w:w w:val="100"/>
        <w:sz w:val="22"/>
        <w:szCs w:val="22"/>
        <w:lang w:val="en-AU" w:eastAsia="en-AU" w:bidi="en-AU"/>
      </w:rPr>
    </w:lvl>
    <w:lvl w:ilvl="1" w:tplc="2F7E6C78">
      <w:numFmt w:val="bullet"/>
      <w:lvlText w:val="•"/>
      <w:lvlJc w:val="left"/>
      <w:pPr>
        <w:ind w:left="2254" w:hanging="284"/>
      </w:pPr>
      <w:rPr>
        <w:rFonts w:hint="default"/>
        <w:lang w:val="en-AU" w:eastAsia="en-AU" w:bidi="en-AU"/>
      </w:rPr>
    </w:lvl>
    <w:lvl w:ilvl="2" w:tplc="B8BED160">
      <w:numFmt w:val="bullet"/>
      <w:lvlText w:val="•"/>
      <w:lvlJc w:val="left"/>
      <w:pPr>
        <w:ind w:left="3289" w:hanging="284"/>
      </w:pPr>
      <w:rPr>
        <w:rFonts w:hint="default"/>
        <w:lang w:val="en-AU" w:eastAsia="en-AU" w:bidi="en-AU"/>
      </w:rPr>
    </w:lvl>
    <w:lvl w:ilvl="3" w:tplc="DEB2D60E">
      <w:numFmt w:val="bullet"/>
      <w:lvlText w:val="•"/>
      <w:lvlJc w:val="left"/>
      <w:pPr>
        <w:ind w:left="4323" w:hanging="284"/>
      </w:pPr>
      <w:rPr>
        <w:rFonts w:hint="default"/>
        <w:lang w:val="en-AU" w:eastAsia="en-AU" w:bidi="en-AU"/>
      </w:rPr>
    </w:lvl>
    <w:lvl w:ilvl="4" w:tplc="7478A3CC">
      <w:numFmt w:val="bullet"/>
      <w:lvlText w:val="•"/>
      <w:lvlJc w:val="left"/>
      <w:pPr>
        <w:ind w:left="5358" w:hanging="284"/>
      </w:pPr>
      <w:rPr>
        <w:rFonts w:hint="default"/>
        <w:lang w:val="en-AU" w:eastAsia="en-AU" w:bidi="en-AU"/>
      </w:rPr>
    </w:lvl>
    <w:lvl w:ilvl="5" w:tplc="34C4A9DA">
      <w:numFmt w:val="bullet"/>
      <w:lvlText w:val="•"/>
      <w:lvlJc w:val="left"/>
      <w:pPr>
        <w:ind w:left="6393" w:hanging="284"/>
      </w:pPr>
      <w:rPr>
        <w:rFonts w:hint="default"/>
        <w:lang w:val="en-AU" w:eastAsia="en-AU" w:bidi="en-AU"/>
      </w:rPr>
    </w:lvl>
    <w:lvl w:ilvl="6" w:tplc="B55C35DC">
      <w:numFmt w:val="bullet"/>
      <w:lvlText w:val="•"/>
      <w:lvlJc w:val="left"/>
      <w:pPr>
        <w:ind w:left="7427" w:hanging="284"/>
      </w:pPr>
      <w:rPr>
        <w:rFonts w:hint="default"/>
        <w:lang w:val="en-AU" w:eastAsia="en-AU" w:bidi="en-AU"/>
      </w:rPr>
    </w:lvl>
    <w:lvl w:ilvl="7" w:tplc="9CF6277A">
      <w:numFmt w:val="bullet"/>
      <w:lvlText w:val="•"/>
      <w:lvlJc w:val="left"/>
      <w:pPr>
        <w:ind w:left="8462" w:hanging="284"/>
      </w:pPr>
      <w:rPr>
        <w:rFonts w:hint="default"/>
        <w:lang w:val="en-AU" w:eastAsia="en-AU" w:bidi="en-AU"/>
      </w:rPr>
    </w:lvl>
    <w:lvl w:ilvl="8" w:tplc="D346E072">
      <w:numFmt w:val="bullet"/>
      <w:lvlText w:val="•"/>
      <w:lvlJc w:val="left"/>
      <w:pPr>
        <w:ind w:left="9497" w:hanging="284"/>
      </w:pPr>
      <w:rPr>
        <w:rFonts w:hint="default"/>
        <w:lang w:val="en-AU" w:eastAsia="en-AU" w:bidi="en-AU"/>
      </w:rPr>
    </w:lvl>
  </w:abstractNum>
  <w:abstractNum w:abstractNumId="13" w15:restartNumberingAfterBreak="0">
    <w:nsid w:val="49EB7AF2"/>
    <w:multiLevelType w:val="hybridMultilevel"/>
    <w:tmpl w:val="E8C0C03A"/>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6177AC"/>
    <w:multiLevelType w:val="hybridMultilevel"/>
    <w:tmpl w:val="A5E83B0A"/>
    <w:lvl w:ilvl="0" w:tplc="0C09000F">
      <w:start w:val="1"/>
      <w:numFmt w:val="decimal"/>
      <w:lvlText w:val="%1."/>
      <w:lvlJc w:val="left"/>
      <w:pPr>
        <w:ind w:left="1652" w:hanging="360"/>
      </w:pPr>
    </w:lvl>
    <w:lvl w:ilvl="1" w:tplc="0C090019" w:tentative="1">
      <w:start w:val="1"/>
      <w:numFmt w:val="lowerLetter"/>
      <w:lvlText w:val="%2."/>
      <w:lvlJc w:val="left"/>
      <w:pPr>
        <w:ind w:left="2372" w:hanging="360"/>
      </w:pPr>
    </w:lvl>
    <w:lvl w:ilvl="2" w:tplc="0C09001B" w:tentative="1">
      <w:start w:val="1"/>
      <w:numFmt w:val="lowerRoman"/>
      <w:lvlText w:val="%3."/>
      <w:lvlJc w:val="right"/>
      <w:pPr>
        <w:ind w:left="3092" w:hanging="180"/>
      </w:pPr>
    </w:lvl>
    <w:lvl w:ilvl="3" w:tplc="0C09000F" w:tentative="1">
      <w:start w:val="1"/>
      <w:numFmt w:val="decimal"/>
      <w:lvlText w:val="%4."/>
      <w:lvlJc w:val="left"/>
      <w:pPr>
        <w:ind w:left="3812" w:hanging="360"/>
      </w:pPr>
    </w:lvl>
    <w:lvl w:ilvl="4" w:tplc="0C090019" w:tentative="1">
      <w:start w:val="1"/>
      <w:numFmt w:val="lowerLetter"/>
      <w:lvlText w:val="%5."/>
      <w:lvlJc w:val="left"/>
      <w:pPr>
        <w:ind w:left="4532" w:hanging="360"/>
      </w:pPr>
    </w:lvl>
    <w:lvl w:ilvl="5" w:tplc="0C09001B" w:tentative="1">
      <w:start w:val="1"/>
      <w:numFmt w:val="lowerRoman"/>
      <w:lvlText w:val="%6."/>
      <w:lvlJc w:val="right"/>
      <w:pPr>
        <w:ind w:left="5252" w:hanging="180"/>
      </w:pPr>
    </w:lvl>
    <w:lvl w:ilvl="6" w:tplc="0C09000F" w:tentative="1">
      <w:start w:val="1"/>
      <w:numFmt w:val="decimal"/>
      <w:lvlText w:val="%7."/>
      <w:lvlJc w:val="left"/>
      <w:pPr>
        <w:ind w:left="5972" w:hanging="360"/>
      </w:pPr>
    </w:lvl>
    <w:lvl w:ilvl="7" w:tplc="0C090019" w:tentative="1">
      <w:start w:val="1"/>
      <w:numFmt w:val="lowerLetter"/>
      <w:lvlText w:val="%8."/>
      <w:lvlJc w:val="left"/>
      <w:pPr>
        <w:ind w:left="6692" w:hanging="360"/>
      </w:pPr>
    </w:lvl>
    <w:lvl w:ilvl="8" w:tplc="0C09001B" w:tentative="1">
      <w:start w:val="1"/>
      <w:numFmt w:val="lowerRoman"/>
      <w:lvlText w:val="%9."/>
      <w:lvlJc w:val="right"/>
      <w:pPr>
        <w:ind w:left="7412" w:hanging="180"/>
      </w:pPr>
    </w:lvl>
  </w:abstractNum>
  <w:abstractNum w:abstractNumId="15" w15:restartNumberingAfterBreak="0">
    <w:nsid w:val="5E01213B"/>
    <w:multiLevelType w:val="hybridMultilevel"/>
    <w:tmpl w:val="163A2B38"/>
    <w:lvl w:ilvl="0" w:tplc="0C090001">
      <w:start w:val="1"/>
      <w:numFmt w:val="bullet"/>
      <w:lvlText w:val=""/>
      <w:lvlJc w:val="left"/>
      <w:pPr>
        <w:ind w:left="1577" w:hanging="360"/>
      </w:pPr>
      <w:rPr>
        <w:rFonts w:ascii="Symbol" w:hAnsi="Symbol" w:hint="default"/>
      </w:rPr>
    </w:lvl>
    <w:lvl w:ilvl="1" w:tplc="0C090003" w:tentative="1">
      <w:start w:val="1"/>
      <w:numFmt w:val="bullet"/>
      <w:lvlText w:val="o"/>
      <w:lvlJc w:val="left"/>
      <w:pPr>
        <w:ind w:left="2297" w:hanging="360"/>
      </w:pPr>
      <w:rPr>
        <w:rFonts w:ascii="Courier New" w:hAnsi="Courier New" w:cs="Courier New" w:hint="default"/>
      </w:rPr>
    </w:lvl>
    <w:lvl w:ilvl="2" w:tplc="0C090005" w:tentative="1">
      <w:start w:val="1"/>
      <w:numFmt w:val="bullet"/>
      <w:lvlText w:val=""/>
      <w:lvlJc w:val="left"/>
      <w:pPr>
        <w:ind w:left="3017" w:hanging="360"/>
      </w:pPr>
      <w:rPr>
        <w:rFonts w:ascii="Wingdings" w:hAnsi="Wingdings" w:hint="default"/>
      </w:rPr>
    </w:lvl>
    <w:lvl w:ilvl="3" w:tplc="0C090001" w:tentative="1">
      <w:start w:val="1"/>
      <w:numFmt w:val="bullet"/>
      <w:lvlText w:val=""/>
      <w:lvlJc w:val="left"/>
      <w:pPr>
        <w:ind w:left="3737" w:hanging="360"/>
      </w:pPr>
      <w:rPr>
        <w:rFonts w:ascii="Symbol" w:hAnsi="Symbol" w:hint="default"/>
      </w:rPr>
    </w:lvl>
    <w:lvl w:ilvl="4" w:tplc="0C090003" w:tentative="1">
      <w:start w:val="1"/>
      <w:numFmt w:val="bullet"/>
      <w:lvlText w:val="o"/>
      <w:lvlJc w:val="left"/>
      <w:pPr>
        <w:ind w:left="4457" w:hanging="360"/>
      </w:pPr>
      <w:rPr>
        <w:rFonts w:ascii="Courier New" w:hAnsi="Courier New" w:cs="Courier New" w:hint="default"/>
      </w:rPr>
    </w:lvl>
    <w:lvl w:ilvl="5" w:tplc="0C090005" w:tentative="1">
      <w:start w:val="1"/>
      <w:numFmt w:val="bullet"/>
      <w:lvlText w:val=""/>
      <w:lvlJc w:val="left"/>
      <w:pPr>
        <w:ind w:left="5177" w:hanging="360"/>
      </w:pPr>
      <w:rPr>
        <w:rFonts w:ascii="Wingdings" w:hAnsi="Wingdings" w:hint="default"/>
      </w:rPr>
    </w:lvl>
    <w:lvl w:ilvl="6" w:tplc="0C090001" w:tentative="1">
      <w:start w:val="1"/>
      <w:numFmt w:val="bullet"/>
      <w:lvlText w:val=""/>
      <w:lvlJc w:val="left"/>
      <w:pPr>
        <w:ind w:left="5897" w:hanging="360"/>
      </w:pPr>
      <w:rPr>
        <w:rFonts w:ascii="Symbol" w:hAnsi="Symbol" w:hint="default"/>
      </w:rPr>
    </w:lvl>
    <w:lvl w:ilvl="7" w:tplc="0C090003" w:tentative="1">
      <w:start w:val="1"/>
      <w:numFmt w:val="bullet"/>
      <w:lvlText w:val="o"/>
      <w:lvlJc w:val="left"/>
      <w:pPr>
        <w:ind w:left="6617" w:hanging="360"/>
      </w:pPr>
      <w:rPr>
        <w:rFonts w:ascii="Courier New" w:hAnsi="Courier New" w:cs="Courier New" w:hint="default"/>
      </w:rPr>
    </w:lvl>
    <w:lvl w:ilvl="8" w:tplc="0C090005" w:tentative="1">
      <w:start w:val="1"/>
      <w:numFmt w:val="bullet"/>
      <w:lvlText w:val=""/>
      <w:lvlJc w:val="left"/>
      <w:pPr>
        <w:ind w:left="7337" w:hanging="360"/>
      </w:pPr>
      <w:rPr>
        <w:rFonts w:ascii="Wingdings" w:hAnsi="Wingdings" w:hint="default"/>
      </w:rPr>
    </w:lvl>
  </w:abstractNum>
  <w:abstractNum w:abstractNumId="16" w15:restartNumberingAfterBreak="0">
    <w:nsid w:val="61D74184"/>
    <w:multiLevelType w:val="hybridMultilevel"/>
    <w:tmpl w:val="68306ABA"/>
    <w:lvl w:ilvl="0" w:tplc="EEC80F38">
      <w:start w:val="1"/>
      <w:numFmt w:val="decimal"/>
      <w:lvlText w:val="%1."/>
      <w:lvlJc w:val="left"/>
      <w:pPr>
        <w:ind w:left="360" w:hanging="360"/>
      </w:pPr>
      <w:rPr>
        <w:rFonts w:asciiTheme="minorHAnsi" w:hAnsiTheme="minorHAnsi" w:cstheme="minorHAnsi" w:hint="default"/>
        <w:b w:val="0"/>
        <w:bCs/>
        <w:i w:val="0"/>
        <w:iCs/>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4026626"/>
    <w:multiLevelType w:val="hybridMultilevel"/>
    <w:tmpl w:val="2B3E30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64542E4"/>
    <w:multiLevelType w:val="hybridMultilevel"/>
    <w:tmpl w:val="C56A2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0651C6"/>
    <w:multiLevelType w:val="hybridMultilevel"/>
    <w:tmpl w:val="97DC7342"/>
    <w:lvl w:ilvl="0" w:tplc="7D28EC80">
      <w:start w:val="1"/>
      <w:numFmt w:val="decimal"/>
      <w:pStyle w:val="Heading1Numbered"/>
      <w:lvlText w:val="%1."/>
      <w:lvlJc w:val="left"/>
      <w:pPr>
        <w:ind w:left="360" w:hanging="360"/>
      </w:pPr>
      <w:rPr>
        <w:b w:val="0"/>
        <w:b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AEA64B8"/>
    <w:multiLevelType w:val="hybridMultilevel"/>
    <w:tmpl w:val="7444F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17299D"/>
    <w:multiLevelType w:val="hybridMultilevel"/>
    <w:tmpl w:val="26EA5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835DF7"/>
    <w:multiLevelType w:val="hybridMultilevel"/>
    <w:tmpl w:val="3D6CC90A"/>
    <w:lvl w:ilvl="0" w:tplc="93907626">
      <w:start w:val="1"/>
      <w:numFmt w:val="decimal"/>
      <w:lvlText w:val="%1."/>
      <w:lvlJc w:val="left"/>
      <w:pPr>
        <w:ind w:left="2224" w:hanging="360"/>
      </w:pPr>
      <w:rPr>
        <w:b w:val="0"/>
        <w:bCs/>
        <w:i w:val="0"/>
        <w:iCs/>
      </w:rPr>
    </w:lvl>
    <w:lvl w:ilvl="1" w:tplc="0C090019" w:tentative="1">
      <w:start w:val="1"/>
      <w:numFmt w:val="lowerLetter"/>
      <w:lvlText w:val="%2."/>
      <w:lvlJc w:val="left"/>
      <w:pPr>
        <w:ind w:left="2372" w:hanging="360"/>
      </w:pPr>
    </w:lvl>
    <w:lvl w:ilvl="2" w:tplc="0C09001B" w:tentative="1">
      <w:start w:val="1"/>
      <w:numFmt w:val="lowerRoman"/>
      <w:lvlText w:val="%3."/>
      <w:lvlJc w:val="right"/>
      <w:pPr>
        <w:ind w:left="3092" w:hanging="180"/>
      </w:pPr>
    </w:lvl>
    <w:lvl w:ilvl="3" w:tplc="0C09000F" w:tentative="1">
      <w:start w:val="1"/>
      <w:numFmt w:val="decimal"/>
      <w:lvlText w:val="%4."/>
      <w:lvlJc w:val="left"/>
      <w:pPr>
        <w:ind w:left="3812" w:hanging="360"/>
      </w:pPr>
    </w:lvl>
    <w:lvl w:ilvl="4" w:tplc="0C090019" w:tentative="1">
      <w:start w:val="1"/>
      <w:numFmt w:val="lowerLetter"/>
      <w:lvlText w:val="%5."/>
      <w:lvlJc w:val="left"/>
      <w:pPr>
        <w:ind w:left="4532" w:hanging="360"/>
      </w:pPr>
    </w:lvl>
    <w:lvl w:ilvl="5" w:tplc="0C09001B" w:tentative="1">
      <w:start w:val="1"/>
      <w:numFmt w:val="lowerRoman"/>
      <w:lvlText w:val="%6."/>
      <w:lvlJc w:val="right"/>
      <w:pPr>
        <w:ind w:left="5252" w:hanging="180"/>
      </w:pPr>
    </w:lvl>
    <w:lvl w:ilvl="6" w:tplc="0C09000F" w:tentative="1">
      <w:start w:val="1"/>
      <w:numFmt w:val="decimal"/>
      <w:lvlText w:val="%7."/>
      <w:lvlJc w:val="left"/>
      <w:pPr>
        <w:ind w:left="5972" w:hanging="360"/>
      </w:pPr>
    </w:lvl>
    <w:lvl w:ilvl="7" w:tplc="0C090019" w:tentative="1">
      <w:start w:val="1"/>
      <w:numFmt w:val="lowerLetter"/>
      <w:lvlText w:val="%8."/>
      <w:lvlJc w:val="left"/>
      <w:pPr>
        <w:ind w:left="6692" w:hanging="360"/>
      </w:pPr>
    </w:lvl>
    <w:lvl w:ilvl="8" w:tplc="0C09001B" w:tentative="1">
      <w:start w:val="1"/>
      <w:numFmt w:val="lowerRoman"/>
      <w:lvlText w:val="%9."/>
      <w:lvlJc w:val="right"/>
      <w:pPr>
        <w:ind w:left="7412" w:hanging="180"/>
      </w:pPr>
    </w:lvl>
  </w:abstractNum>
  <w:num w:numId="1">
    <w:abstractNumId w:val="8"/>
  </w:num>
  <w:num w:numId="2">
    <w:abstractNumId w:val="12"/>
  </w:num>
  <w:num w:numId="3">
    <w:abstractNumId w:val="16"/>
  </w:num>
  <w:num w:numId="4">
    <w:abstractNumId w:val="13"/>
  </w:num>
  <w:num w:numId="5">
    <w:abstractNumId w:val="19"/>
  </w:num>
  <w:num w:numId="6">
    <w:abstractNumId w:val="15"/>
  </w:num>
  <w:num w:numId="7">
    <w:abstractNumId w:val="14"/>
  </w:num>
  <w:num w:numId="8">
    <w:abstractNumId w:val="4"/>
  </w:num>
  <w:num w:numId="9">
    <w:abstractNumId w:val="21"/>
  </w:num>
  <w:num w:numId="10">
    <w:abstractNumId w:val="6"/>
  </w:num>
  <w:num w:numId="11">
    <w:abstractNumId w:val="2"/>
  </w:num>
  <w:num w:numId="12">
    <w:abstractNumId w:val="18"/>
  </w:num>
  <w:num w:numId="13">
    <w:abstractNumId w:val="22"/>
  </w:num>
  <w:num w:numId="14">
    <w:abstractNumId w:val="9"/>
  </w:num>
  <w:num w:numId="15">
    <w:abstractNumId w:val="0"/>
  </w:num>
  <w:num w:numId="16">
    <w:abstractNumId w:val="1"/>
  </w:num>
  <w:num w:numId="17">
    <w:abstractNumId w:val="17"/>
  </w:num>
  <w:num w:numId="18">
    <w:abstractNumId w:val="10"/>
  </w:num>
  <w:num w:numId="19">
    <w:abstractNumId w:val="7"/>
  </w:num>
  <w:num w:numId="20">
    <w:abstractNumId w:val="11"/>
  </w:num>
  <w:num w:numId="21">
    <w:abstractNumId w:val="3"/>
  </w:num>
  <w:num w:numId="22">
    <w:abstractNumId w:val="5"/>
  </w:num>
  <w:num w:numId="23">
    <w:abstractNumId w:val="20"/>
  </w:num>
  <w:num w:numId="24">
    <w:abstractNumId w:val="19"/>
  </w:num>
  <w:num w:numId="25">
    <w:abstractNumId w:val="19"/>
  </w:num>
  <w:num w:numId="26">
    <w:abstractNumId w:val="19"/>
  </w:num>
  <w:num w:numId="27">
    <w:abstractNumId w:val="19"/>
  </w:num>
  <w:num w:numId="28">
    <w:abstractNumId w:val="1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EA"/>
    <w:rsid w:val="000042F4"/>
    <w:rsid w:val="00015374"/>
    <w:rsid w:val="00020427"/>
    <w:rsid w:val="00091C2E"/>
    <w:rsid w:val="00093A95"/>
    <w:rsid w:val="001629AB"/>
    <w:rsid w:val="00170712"/>
    <w:rsid w:val="001C3DFD"/>
    <w:rsid w:val="002004D7"/>
    <w:rsid w:val="00251BEC"/>
    <w:rsid w:val="002855F6"/>
    <w:rsid w:val="0029114F"/>
    <w:rsid w:val="002925CC"/>
    <w:rsid w:val="00294608"/>
    <w:rsid w:val="002A018B"/>
    <w:rsid w:val="002C3A4A"/>
    <w:rsid w:val="002E1D51"/>
    <w:rsid w:val="002E292C"/>
    <w:rsid w:val="002E590B"/>
    <w:rsid w:val="00332C17"/>
    <w:rsid w:val="003368DC"/>
    <w:rsid w:val="0034385A"/>
    <w:rsid w:val="0035058A"/>
    <w:rsid w:val="003630A4"/>
    <w:rsid w:val="00364CEE"/>
    <w:rsid w:val="00367AE1"/>
    <w:rsid w:val="00391C90"/>
    <w:rsid w:val="003B6939"/>
    <w:rsid w:val="003D509D"/>
    <w:rsid w:val="004454ED"/>
    <w:rsid w:val="00475902"/>
    <w:rsid w:val="00490896"/>
    <w:rsid w:val="004966C9"/>
    <w:rsid w:val="004C7BF2"/>
    <w:rsid w:val="00503297"/>
    <w:rsid w:val="0051146A"/>
    <w:rsid w:val="00532F0E"/>
    <w:rsid w:val="005441EA"/>
    <w:rsid w:val="0059372F"/>
    <w:rsid w:val="005D2344"/>
    <w:rsid w:val="005E4029"/>
    <w:rsid w:val="0060705B"/>
    <w:rsid w:val="00615594"/>
    <w:rsid w:val="006220D5"/>
    <w:rsid w:val="00627C1A"/>
    <w:rsid w:val="0067786E"/>
    <w:rsid w:val="00684A08"/>
    <w:rsid w:val="006969CF"/>
    <w:rsid w:val="006B0B8D"/>
    <w:rsid w:val="006C4269"/>
    <w:rsid w:val="00720C88"/>
    <w:rsid w:val="00764CA2"/>
    <w:rsid w:val="00774964"/>
    <w:rsid w:val="007901CB"/>
    <w:rsid w:val="0083469E"/>
    <w:rsid w:val="008B4E98"/>
    <w:rsid w:val="008D2185"/>
    <w:rsid w:val="0092475D"/>
    <w:rsid w:val="00933F85"/>
    <w:rsid w:val="0095107D"/>
    <w:rsid w:val="00974E05"/>
    <w:rsid w:val="00985BCF"/>
    <w:rsid w:val="009A4C2D"/>
    <w:rsid w:val="009B41B6"/>
    <w:rsid w:val="009C5235"/>
    <w:rsid w:val="00A24C69"/>
    <w:rsid w:val="00A436E4"/>
    <w:rsid w:val="00AD0B54"/>
    <w:rsid w:val="00AD2065"/>
    <w:rsid w:val="00AD52EE"/>
    <w:rsid w:val="00B029BF"/>
    <w:rsid w:val="00B26C85"/>
    <w:rsid w:val="00B45A2F"/>
    <w:rsid w:val="00B51B36"/>
    <w:rsid w:val="00B531E6"/>
    <w:rsid w:val="00BC7DB9"/>
    <w:rsid w:val="00C45608"/>
    <w:rsid w:val="00C75FFA"/>
    <w:rsid w:val="00C91915"/>
    <w:rsid w:val="00CE0F12"/>
    <w:rsid w:val="00CF796B"/>
    <w:rsid w:val="00D208CF"/>
    <w:rsid w:val="00D212AB"/>
    <w:rsid w:val="00D22C30"/>
    <w:rsid w:val="00D24703"/>
    <w:rsid w:val="00DD4814"/>
    <w:rsid w:val="00E13D79"/>
    <w:rsid w:val="00E4641F"/>
    <w:rsid w:val="00E66E28"/>
    <w:rsid w:val="00EB3D01"/>
    <w:rsid w:val="00EE3EFA"/>
    <w:rsid w:val="00F053B4"/>
    <w:rsid w:val="00F1631E"/>
    <w:rsid w:val="00F45E7A"/>
    <w:rsid w:val="00F57861"/>
    <w:rsid w:val="00F608E3"/>
    <w:rsid w:val="00F745D6"/>
    <w:rsid w:val="00F85A6E"/>
    <w:rsid w:val="00F9017B"/>
    <w:rsid w:val="00FE2D0D"/>
    <w:rsid w:val="00FE5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5865801"/>
  <w15:docId w15:val="{0D508EBC-F21B-4083-91B0-A6AF07E6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ind w:left="1293"/>
      <w:outlineLvl w:val="0"/>
    </w:pPr>
    <w:rPr>
      <w:b/>
      <w:bCs/>
    </w:rPr>
  </w:style>
  <w:style w:type="paragraph" w:styleId="Heading2">
    <w:name w:val="heading 2"/>
    <w:basedOn w:val="Normal"/>
    <w:next w:val="Normal"/>
    <w:link w:val="Heading2Char"/>
    <w:uiPriority w:val="9"/>
    <w:unhideWhenUsed/>
    <w:qFormat/>
    <w:rsid w:val="004454ED"/>
    <w:pPr>
      <w:keepNext/>
      <w:keepLines/>
      <w:widowControl/>
      <w:suppressAutoHyphens/>
      <w:autoSpaceDE/>
      <w:autoSpaceDN/>
      <w:spacing w:before="240" w:after="100" w:line="260" w:lineRule="atLeast"/>
      <w:contextualSpacing/>
      <w:outlineLvl w:val="1"/>
    </w:pPr>
    <w:rPr>
      <w:rFonts w:eastAsia="MS Gothic" w:cs="Times New Roman"/>
      <w:b/>
      <w:bCs/>
      <w:color w:val="94724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120"/>
    </w:pPr>
    <w:rPr>
      <w:rFonts w:asciiTheme="minorHAnsi" w:hAnsiTheme="minorHAnsi" w:cstheme="minorHAnsi"/>
      <w:b/>
      <w:bCs/>
      <w:caps/>
      <w:sz w:val="20"/>
      <w:szCs w:val="20"/>
    </w:rPr>
  </w:style>
  <w:style w:type="paragraph" w:styleId="BodyText">
    <w:name w:val="Body Text"/>
    <w:basedOn w:val="Normal"/>
    <w:uiPriority w:val="1"/>
    <w:qFormat/>
    <w:pPr>
      <w:spacing w:before="99"/>
      <w:ind w:left="932"/>
    </w:pPr>
  </w:style>
  <w:style w:type="paragraph" w:styleId="ListParagraph">
    <w:name w:val="List Paragraph"/>
    <w:basedOn w:val="Normal"/>
    <w:uiPriority w:val="1"/>
    <w:qFormat/>
    <w:pPr>
      <w:spacing w:before="101"/>
      <w:ind w:left="1216" w:hanging="28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510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07D"/>
    <w:rPr>
      <w:rFonts w:ascii="Segoe UI" w:eastAsia="Calibri" w:hAnsi="Segoe UI" w:cs="Segoe UI"/>
      <w:sz w:val="18"/>
      <w:szCs w:val="18"/>
      <w:lang w:val="en-AU" w:eastAsia="en-AU" w:bidi="en-AU"/>
    </w:rPr>
  </w:style>
  <w:style w:type="character" w:styleId="Hyperlink">
    <w:name w:val="Hyperlink"/>
    <w:basedOn w:val="DefaultParagraphFont"/>
    <w:uiPriority w:val="99"/>
    <w:unhideWhenUsed/>
    <w:rsid w:val="0095107D"/>
    <w:rPr>
      <w:color w:val="0000FF" w:themeColor="hyperlink"/>
      <w:u w:val="single"/>
    </w:rPr>
  </w:style>
  <w:style w:type="paragraph" w:styleId="FootnoteText">
    <w:name w:val="footnote text"/>
    <w:basedOn w:val="Normal"/>
    <w:link w:val="FootnoteTextChar"/>
    <w:uiPriority w:val="99"/>
    <w:unhideWhenUsed/>
    <w:rsid w:val="0095107D"/>
    <w:rPr>
      <w:sz w:val="20"/>
      <w:szCs w:val="20"/>
    </w:rPr>
  </w:style>
  <w:style w:type="character" w:customStyle="1" w:styleId="FootnoteTextChar">
    <w:name w:val="Footnote Text Char"/>
    <w:basedOn w:val="DefaultParagraphFont"/>
    <w:link w:val="FootnoteText"/>
    <w:uiPriority w:val="99"/>
    <w:rsid w:val="0095107D"/>
    <w:rPr>
      <w:rFonts w:ascii="Calibri" w:eastAsia="Calibri" w:hAnsi="Calibri" w:cs="Calibri"/>
      <w:sz w:val="20"/>
      <w:szCs w:val="20"/>
      <w:lang w:val="en-AU" w:eastAsia="en-AU" w:bidi="en-AU"/>
    </w:rPr>
  </w:style>
  <w:style w:type="character" w:styleId="FootnoteReference">
    <w:name w:val="footnote reference"/>
    <w:basedOn w:val="DefaultParagraphFont"/>
    <w:uiPriority w:val="99"/>
    <w:semiHidden/>
    <w:unhideWhenUsed/>
    <w:rsid w:val="0095107D"/>
    <w:rPr>
      <w:vertAlign w:val="superscript"/>
    </w:rPr>
  </w:style>
  <w:style w:type="character" w:styleId="CommentReference">
    <w:name w:val="annotation reference"/>
    <w:basedOn w:val="DefaultParagraphFont"/>
    <w:uiPriority w:val="99"/>
    <w:semiHidden/>
    <w:unhideWhenUsed/>
    <w:rsid w:val="0095107D"/>
    <w:rPr>
      <w:sz w:val="16"/>
      <w:szCs w:val="16"/>
    </w:rPr>
  </w:style>
  <w:style w:type="paragraph" w:styleId="CommentText">
    <w:name w:val="annotation text"/>
    <w:basedOn w:val="Normal"/>
    <w:link w:val="CommentTextChar"/>
    <w:uiPriority w:val="99"/>
    <w:semiHidden/>
    <w:unhideWhenUsed/>
    <w:rsid w:val="0095107D"/>
    <w:rPr>
      <w:sz w:val="20"/>
      <w:szCs w:val="20"/>
    </w:rPr>
  </w:style>
  <w:style w:type="character" w:customStyle="1" w:styleId="CommentTextChar">
    <w:name w:val="Comment Text Char"/>
    <w:basedOn w:val="DefaultParagraphFont"/>
    <w:link w:val="CommentText"/>
    <w:uiPriority w:val="99"/>
    <w:semiHidden/>
    <w:rsid w:val="0095107D"/>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95107D"/>
    <w:rPr>
      <w:b/>
      <w:bCs/>
    </w:rPr>
  </w:style>
  <w:style w:type="character" w:customStyle="1" w:styleId="CommentSubjectChar">
    <w:name w:val="Comment Subject Char"/>
    <w:basedOn w:val="CommentTextChar"/>
    <w:link w:val="CommentSubject"/>
    <w:uiPriority w:val="99"/>
    <w:semiHidden/>
    <w:rsid w:val="0095107D"/>
    <w:rPr>
      <w:rFonts w:ascii="Calibri" w:eastAsia="Calibri" w:hAnsi="Calibri" w:cs="Calibri"/>
      <w:b/>
      <w:bCs/>
      <w:sz w:val="20"/>
      <w:szCs w:val="20"/>
      <w:lang w:val="en-AU" w:eastAsia="en-AU" w:bidi="en-AU"/>
    </w:rPr>
  </w:style>
  <w:style w:type="character" w:styleId="UnresolvedMention">
    <w:name w:val="Unresolved Mention"/>
    <w:basedOn w:val="DefaultParagraphFont"/>
    <w:uiPriority w:val="99"/>
    <w:semiHidden/>
    <w:unhideWhenUsed/>
    <w:rsid w:val="00D208CF"/>
    <w:rPr>
      <w:color w:val="605E5C"/>
      <w:shd w:val="clear" w:color="auto" w:fill="E1DFDD"/>
    </w:rPr>
  </w:style>
  <w:style w:type="paragraph" w:styleId="Header">
    <w:name w:val="header"/>
    <w:basedOn w:val="Normal"/>
    <w:link w:val="HeaderChar"/>
    <w:uiPriority w:val="99"/>
    <w:unhideWhenUsed/>
    <w:rsid w:val="00D208CF"/>
    <w:pPr>
      <w:tabs>
        <w:tab w:val="center" w:pos="4513"/>
        <w:tab w:val="right" w:pos="9026"/>
      </w:tabs>
    </w:pPr>
  </w:style>
  <w:style w:type="character" w:customStyle="1" w:styleId="HeaderChar">
    <w:name w:val="Header Char"/>
    <w:basedOn w:val="DefaultParagraphFont"/>
    <w:link w:val="Header"/>
    <w:uiPriority w:val="99"/>
    <w:rsid w:val="00D208CF"/>
    <w:rPr>
      <w:rFonts w:ascii="Calibri" w:eastAsia="Calibri" w:hAnsi="Calibri" w:cs="Calibri"/>
      <w:lang w:val="en-AU" w:eastAsia="en-AU" w:bidi="en-AU"/>
    </w:rPr>
  </w:style>
  <w:style w:type="paragraph" w:styleId="Footer">
    <w:name w:val="footer"/>
    <w:basedOn w:val="Normal"/>
    <w:link w:val="FooterChar"/>
    <w:uiPriority w:val="99"/>
    <w:unhideWhenUsed/>
    <w:rsid w:val="00D208CF"/>
    <w:pPr>
      <w:tabs>
        <w:tab w:val="center" w:pos="4513"/>
        <w:tab w:val="right" w:pos="9026"/>
      </w:tabs>
    </w:pPr>
  </w:style>
  <w:style w:type="character" w:customStyle="1" w:styleId="FooterChar">
    <w:name w:val="Footer Char"/>
    <w:basedOn w:val="DefaultParagraphFont"/>
    <w:link w:val="Footer"/>
    <w:uiPriority w:val="99"/>
    <w:rsid w:val="00D208CF"/>
    <w:rPr>
      <w:rFonts w:ascii="Calibri" w:eastAsia="Calibri" w:hAnsi="Calibri" w:cs="Calibri"/>
      <w:lang w:val="en-AU" w:eastAsia="en-AU" w:bidi="en-AU"/>
    </w:rPr>
  </w:style>
  <w:style w:type="paragraph" w:styleId="TOC2">
    <w:name w:val="toc 2"/>
    <w:basedOn w:val="Normal"/>
    <w:next w:val="Normal"/>
    <w:autoRedefine/>
    <w:uiPriority w:val="39"/>
    <w:unhideWhenUsed/>
    <w:rsid w:val="00CF796B"/>
    <w:pPr>
      <w:tabs>
        <w:tab w:val="right" w:leader="dot" w:pos="9632"/>
      </w:tabs>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4454ED"/>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4454ED"/>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4454ED"/>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4454ED"/>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4454ED"/>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4454ED"/>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4454ED"/>
    <w:pPr>
      <w:ind w:left="1760"/>
    </w:pPr>
    <w:rPr>
      <w:rFonts w:asciiTheme="minorHAnsi" w:hAnsiTheme="minorHAnsi" w:cstheme="minorHAnsi"/>
      <w:sz w:val="18"/>
      <w:szCs w:val="18"/>
    </w:rPr>
  </w:style>
  <w:style w:type="paragraph" w:customStyle="1" w:styleId="Heading1Numbered">
    <w:name w:val="Heading 1 Numbered"/>
    <w:basedOn w:val="Heading1"/>
    <w:next w:val="Normal"/>
    <w:qFormat/>
    <w:rsid w:val="004454ED"/>
    <w:pPr>
      <w:keepNext/>
      <w:keepLines/>
      <w:widowControl/>
      <w:numPr>
        <w:numId w:val="5"/>
      </w:numPr>
      <w:suppressAutoHyphens/>
      <w:autoSpaceDE/>
      <w:autoSpaceDN/>
      <w:spacing w:before="240" w:after="240" w:line="260" w:lineRule="atLeast"/>
      <w:contextualSpacing/>
    </w:pPr>
    <w:rPr>
      <w:rFonts w:eastAsia="MS Gothic" w:cs="Times New Roman"/>
      <w:caps/>
      <w:color w:val="404040"/>
      <w:szCs w:val="28"/>
      <w:lang w:eastAsia="en-US" w:bidi="ar-SA"/>
    </w:rPr>
  </w:style>
  <w:style w:type="character" w:customStyle="1" w:styleId="Heading2Char">
    <w:name w:val="Heading 2 Char"/>
    <w:basedOn w:val="DefaultParagraphFont"/>
    <w:link w:val="Heading2"/>
    <w:uiPriority w:val="9"/>
    <w:rsid w:val="004454ED"/>
    <w:rPr>
      <w:rFonts w:ascii="Calibri" w:eastAsia="MS Gothic" w:hAnsi="Calibri" w:cs="Times New Roman"/>
      <w:b/>
      <w:bCs/>
      <w:color w:val="947246"/>
      <w:szCs w:val="26"/>
      <w:lang w:val="en-AU"/>
    </w:rPr>
  </w:style>
  <w:style w:type="paragraph" w:styleId="TOCHeading">
    <w:name w:val="TOC Heading"/>
    <w:basedOn w:val="Heading1"/>
    <w:next w:val="Normal"/>
    <w:uiPriority w:val="39"/>
    <w:unhideWhenUsed/>
    <w:qFormat/>
    <w:rsid w:val="00F5786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customStyle="1" w:styleId="DocumentGroup">
    <w:name w:val="Document Group"/>
    <w:basedOn w:val="Title"/>
    <w:qFormat/>
    <w:rsid w:val="0067786E"/>
    <w:pPr>
      <w:widowControl/>
      <w:suppressAutoHyphens/>
      <w:autoSpaceDE/>
      <w:autoSpaceDN/>
      <w:spacing w:after="1000" w:line="340" w:lineRule="atLeast"/>
      <w:ind w:right="284"/>
      <w:jc w:val="right"/>
    </w:pPr>
    <w:rPr>
      <w:rFonts w:ascii="Calibri" w:eastAsia="MS Gothic" w:hAnsi="Calibri" w:cs="Times New Roman"/>
      <w:b/>
      <w:color w:val="FFFFFF"/>
      <w:spacing w:val="0"/>
      <w:sz w:val="28"/>
      <w:szCs w:val="52"/>
      <w:lang w:val="en-US" w:eastAsia="en-US" w:bidi="ar-SA"/>
    </w:rPr>
  </w:style>
  <w:style w:type="paragraph" w:styleId="Title">
    <w:name w:val="Title"/>
    <w:basedOn w:val="Normal"/>
    <w:next w:val="Normal"/>
    <w:link w:val="TitleChar"/>
    <w:uiPriority w:val="10"/>
    <w:qFormat/>
    <w:rsid w:val="006778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86E"/>
    <w:rPr>
      <w:rFonts w:asciiTheme="majorHAnsi" w:eastAsiaTheme="majorEastAsia" w:hAnsiTheme="majorHAnsi" w:cstheme="majorBidi"/>
      <w:spacing w:val="-10"/>
      <w:kern w:val="28"/>
      <w:sz w:val="56"/>
      <w:szCs w:val="56"/>
      <w:lang w:val="en-AU" w:eastAsia="en-AU" w:bidi="en-AU"/>
    </w:rPr>
  </w:style>
  <w:style w:type="paragraph" w:styleId="Revision">
    <w:name w:val="Revision"/>
    <w:hidden/>
    <w:uiPriority w:val="99"/>
    <w:semiHidden/>
    <w:rsid w:val="00684A08"/>
    <w:pPr>
      <w:widowControl/>
      <w:autoSpaceDE/>
      <w:autoSpaceDN/>
    </w:pPr>
    <w:rPr>
      <w:rFonts w:ascii="Calibri" w:eastAsia="Calibri" w:hAnsi="Calibri" w:cs="Calibri"/>
      <w:lang w:val="en-AU" w:eastAsia="en-AU" w:bidi="en-AU"/>
    </w:rPr>
  </w:style>
  <w:style w:type="character" w:styleId="FollowedHyperlink">
    <w:name w:val="FollowedHyperlink"/>
    <w:basedOn w:val="DefaultParagraphFont"/>
    <w:uiPriority w:val="99"/>
    <w:semiHidden/>
    <w:unhideWhenUsed/>
    <w:rsid w:val="00790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mbudsman.gov.au/__data/assets/pdf_file/0019/112276/Better-Practice-Complaint-Handling-Guid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ecurity@cdpp.gov.au" TargetMode="External"/><Relationship Id="rId17" Type="http://schemas.openxmlformats.org/officeDocument/2006/relationships/hyperlink" Target="http://libcat.dppnet/firstRMS/fullRecord.jsp?recnoListAttr=recnoList&amp;recno=28795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bcat.dppnet/firstRMS/fullRecord.jsp?recnoListAttr=recnoList&amp;recno=29305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quiries@cdpp.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bcat.dppnet/firstRMS/fullRecord.jsp?recnoListAttr=recnoList&amp;recno=287953" TargetMode="External"/><Relationship Id="rId23" Type="http://schemas.openxmlformats.org/officeDocument/2006/relationships/footer" Target="footer3.xml"/><Relationship Id="rId10" Type="http://schemas.openxmlformats.org/officeDocument/2006/relationships/hyperlink" Target="mailto:feedbackandcomplaints@cdpp.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dpp.gov.au/cdpp-feedback-and-complaints-e-form" TargetMode="External"/><Relationship Id="rId14" Type="http://schemas.openxmlformats.org/officeDocument/2006/relationships/hyperlink" Target="https://www.ombudsman.gov.au/__data/assets/pdf_file/0019/112276/Better-Practice-Complaint-Handling-Guide.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F37D9-F095-4394-920B-88CA1BE6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2374</Words>
  <Characters>13537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Saggiomo Carly</dc:creator>
  <cp:lastModifiedBy>Langan Mel</cp:lastModifiedBy>
  <cp:revision>2</cp:revision>
  <dcterms:created xsi:type="dcterms:W3CDTF">2021-10-25T04:04:00Z</dcterms:created>
  <dcterms:modified xsi:type="dcterms:W3CDTF">2021-10-25T04:04:00Z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LastSaved">
    <vt:filetime>2020-10-20T00:00:00Z</vt:filetime>
  </property>
</Properties>
</file>