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5E246" w14:textId="77777777" w:rsidR="0058646D" w:rsidRDefault="0058646D" w:rsidP="00481E42">
      <w:pPr>
        <w:pStyle w:val="DocumentGroup"/>
        <w:rPr>
          <w:lang w:val="en-AU"/>
        </w:rPr>
      </w:pPr>
    </w:p>
    <w:p w14:paraId="75B67E3A" w14:textId="5ADC1567" w:rsidR="00351DD0" w:rsidRPr="004C0CBC" w:rsidRDefault="004345FB" w:rsidP="00481E42">
      <w:pPr>
        <w:pStyle w:val="DocumentGroup"/>
        <w:rPr>
          <w:lang w:val="en-AU"/>
        </w:rPr>
      </w:pPr>
      <w:r w:rsidRPr="004C0CBC">
        <w:rPr>
          <w:lang w:val="en-AU"/>
        </w:rPr>
        <w:t>National Legal Direction</w:t>
      </w:r>
    </w:p>
    <w:p w14:paraId="75157F5D" w14:textId="77777777" w:rsidR="00481E42" w:rsidRPr="009D42DC" w:rsidRDefault="00594E2A" w:rsidP="009D42DC">
      <w:pPr>
        <w:spacing w:after="0" w:line="300" w:lineRule="atLeast"/>
        <w:ind w:right="284"/>
        <w:contextualSpacing/>
        <w:jc w:val="right"/>
        <w:outlineLvl w:val="0"/>
        <w:rPr>
          <w:rFonts w:eastAsiaTheme="majorEastAsia" w:cstheme="majorBidi"/>
          <w:b/>
          <w:color w:val="BCCF00"/>
          <w:kern w:val="28"/>
          <w:sz w:val="24"/>
          <w:szCs w:val="52"/>
        </w:rPr>
      </w:pPr>
      <w:bookmarkStart w:id="0" w:name="_Toc462315652"/>
      <w:bookmarkStart w:id="1" w:name="_Toc61339337"/>
      <w:r w:rsidRPr="009D42DC">
        <w:rPr>
          <w:rFonts w:eastAsiaTheme="majorEastAsia" w:cstheme="majorBidi"/>
          <w:b/>
          <w:color w:val="BCCF00"/>
          <w:kern w:val="28"/>
          <w:sz w:val="24"/>
          <w:szCs w:val="52"/>
        </w:rPr>
        <w:t>Prosecution Services for</w:t>
      </w:r>
      <w:r w:rsidR="00C25393" w:rsidRPr="009D42DC">
        <w:rPr>
          <w:rFonts w:eastAsiaTheme="majorEastAsia" w:cstheme="majorBidi"/>
          <w:b/>
          <w:color w:val="BCCF00"/>
          <w:kern w:val="28"/>
          <w:sz w:val="24"/>
          <w:szCs w:val="52"/>
        </w:rPr>
        <w:t xml:space="preserve"> </w:t>
      </w:r>
      <w:r w:rsidR="00F55D78" w:rsidRPr="009D42DC">
        <w:rPr>
          <w:rFonts w:eastAsiaTheme="majorEastAsia" w:cstheme="majorBidi"/>
          <w:b/>
          <w:color w:val="BCCF00"/>
          <w:kern w:val="28"/>
          <w:sz w:val="24"/>
          <w:szCs w:val="52"/>
        </w:rPr>
        <w:t>Partner</w:t>
      </w:r>
      <w:r w:rsidR="00F012DC" w:rsidRPr="009D42DC">
        <w:rPr>
          <w:rFonts w:eastAsiaTheme="majorEastAsia" w:cstheme="majorBidi"/>
          <w:b/>
          <w:color w:val="BCCF00"/>
          <w:kern w:val="28"/>
          <w:sz w:val="24"/>
          <w:szCs w:val="52"/>
        </w:rPr>
        <w:t xml:space="preserve"> Agencies</w:t>
      </w:r>
      <w:bookmarkEnd w:id="0"/>
      <w:bookmarkEnd w:id="1"/>
    </w:p>
    <w:p w14:paraId="54C3FC35" w14:textId="16FCAEF7" w:rsidR="009D42DC" w:rsidRDefault="009D42DC" w:rsidP="009D42DC">
      <w:pPr>
        <w:numPr>
          <w:ilvl w:val="1"/>
          <w:numId w:val="0"/>
        </w:numPr>
        <w:spacing w:after="720"/>
        <w:ind w:right="284"/>
        <w:contextualSpacing/>
        <w:jc w:val="right"/>
        <w:rPr>
          <w:rFonts w:eastAsiaTheme="majorEastAsia" w:cstheme="majorBidi"/>
          <w:iCs/>
          <w:color w:val="BCCF00"/>
          <w:szCs w:val="24"/>
        </w:rPr>
      </w:pPr>
      <w:r w:rsidRPr="009D42DC">
        <w:rPr>
          <w:rFonts w:eastAsiaTheme="majorEastAsia" w:cstheme="majorBidi"/>
          <w:iCs/>
          <w:color w:val="BCCF00"/>
          <w:szCs w:val="24"/>
        </w:rPr>
        <w:t xml:space="preserve">Last Update: </w:t>
      </w:r>
      <w:r>
        <w:rPr>
          <w:rFonts w:eastAsiaTheme="majorEastAsia" w:cstheme="majorBidi"/>
          <w:iCs/>
          <w:color w:val="BCCF00"/>
          <w:szCs w:val="24"/>
        </w:rPr>
        <w:t xml:space="preserve"> </w:t>
      </w:r>
      <w:r w:rsidR="00212747">
        <w:rPr>
          <w:rFonts w:eastAsiaTheme="majorEastAsia" w:cstheme="majorBidi"/>
          <w:iCs/>
          <w:color w:val="BCCF00"/>
          <w:szCs w:val="24"/>
        </w:rPr>
        <w:t xml:space="preserve">18 </w:t>
      </w:r>
      <w:r w:rsidR="00C056E0">
        <w:rPr>
          <w:rFonts w:eastAsiaTheme="majorEastAsia" w:cstheme="majorBidi"/>
          <w:iCs/>
          <w:color w:val="BCCF00"/>
          <w:szCs w:val="24"/>
        </w:rPr>
        <w:t xml:space="preserve">January </w:t>
      </w:r>
      <w:r w:rsidR="004F4711">
        <w:rPr>
          <w:rFonts w:eastAsiaTheme="majorEastAsia" w:cstheme="majorBidi"/>
          <w:iCs/>
          <w:color w:val="BCCF00"/>
          <w:szCs w:val="24"/>
        </w:rPr>
        <w:t>202</w:t>
      </w:r>
      <w:r w:rsidR="00C056E0">
        <w:rPr>
          <w:rFonts w:eastAsiaTheme="majorEastAsia" w:cstheme="majorBidi"/>
          <w:iCs/>
          <w:color w:val="BCCF00"/>
          <w:szCs w:val="24"/>
        </w:rPr>
        <w:t>1</w:t>
      </w:r>
    </w:p>
    <w:p w14:paraId="7DAF6CF8" w14:textId="77777777" w:rsidR="009D42DC" w:rsidRPr="009D42DC" w:rsidRDefault="009D42DC" w:rsidP="009D42DC">
      <w:pPr>
        <w:numPr>
          <w:ilvl w:val="1"/>
          <w:numId w:val="0"/>
        </w:numPr>
        <w:spacing w:after="720"/>
        <w:ind w:right="284"/>
        <w:contextualSpacing/>
        <w:jc w:val="right"/>
        <w:rPr>
          <w:rFonts w:eastAsiaTheme="majorEastAsia" w:cstheme="majorBidi"/>
          <w:iCs/>
          <w:color w:val="BCCF00"/>
          <w:szCs w:val="24"/>
        </w:rPr>
      </w:pPr>
    </w:p>
    <w:p w14:paraId="4DF45FA0" w14:textId="77777777" w:rsidR="008B4DA3" w:rsidRDefault="008B4DA3" w:rsidP="008B4DA3">
      <w:pPr>
        <w:suppressAutoHyphens w:val="0"/>
        <w:spacing w:before="360" w:after="0" w:line="259" w:lineRule="auto"/>
        <w:ind w:right="284"/>
        <w:rPr>
          <w:rFonts w:asciiTheme="majorHAnsi" w:eastAsiaTheme="majorEastAsia" w:hAnsiTheme="majorHAnsi" w:cstheme="majorBidi"/>
          <w:b/>
          <w:bCs/>
          <w:color w:val="BCCF00"/>
          <w:kern w:val="28"/>
          <w:sz w:val="24"/>
          <w:szCs w:val="24"/>
          <w:lang w:val="en-US"/>
        </w:rPr>
      </w:pPr>
    </w:p>
    <w:p w14:paraId="33056EF1" w14:textId="77777777" w:rsidR="009D42DC" w:rsidRPr="009D42DC" w:rsidRDefault="009D42DC" w:rsidP="008B4DA3">
      <w:pPr>
        <w:suppressAutoHyphens w:val="0"/>
        <w:spacing w:before="360" w:after="0" w:line="259" w:lineRule="auto"/>
        <w:ind w:right="284"/>
        <w:rPr>
          <w:rFonts w:asciiTheme="majorHAnsi" w:eastAsiaTheme="majorEastAsia" w:hAnsiTheme="majorHAnsi" w:cstheme="majorBidi"/>
          <w:b/>
          <w:bCs/>
          <w:color w:val="BCCF00"/>
          <w:kern w:val="28"/>
          <w:sz w:val="24"/>
          <w:szCs w:val="24"/>
          <w:lang w:val="en-US"/>
        </w:rPr>
      </w:pPr>
      <w:r w:rsidRPr="009D42DC">
        <w:rPr>
          <w:rFonts w:asciiTheme="majorHAnsi" w:eastAsiaTheme="majorEastAsia" w:hAnsiTheme="majorHAnsi" w:cstheme="majorBidi"/>
          <w:b/>
          <w:bCs/>
          <w:color w:val="BCCF00"/>
          <w:kern w:val="28"/>
          <w:sz w:val="24"/>
          <w:szCs w:val="24"/>
          <w:lang w:val="en-US"/>
        </w:rPr>
        <w:t>Table of Contents</w:t>
      </w:r>
    </w:p>
    <w:sdt>
      <w:sdtPr>
        <w:rPr>
          <w:caps/>
        </w:rPr>
        <w:id w:val="-93484709"/>
        <w:docPartObj>
          <w:docPartGallery w:val="Table of Contents"/>
          <w:docPartUnique/>
        </w:docPartObj>
      </w:sdtPr>
      <w:sdtEndPr>
        <w:rPr>
          <w:b/>
          <w:bCs/>
          <w:caps w:val="0"/>
          <w:noProof/>
        </w:rPr>
      </w:sdtEndPr>
      <w:sdtContent>
        <w:p w14:paraId="0D73ECF1" w14:textId="781E49C8" w:rsidR="00D3314E" w:rsidRDefault="008B4DA3">
          <w:pPr>
            <w:pStyle w:val="TOC1"/>
            <w:rPr>
              <w:rFonts w:asciiTheme="minorHAnsi" w:eastAsiaTheme="minorEastAsia" w:hAnsiTheme="minorHAnsi"/>
              <w:noProof/>
              <w:color w:val="auto"/>
              <w:lang w:eastAsia="en-AU"/>
            </w:rPr>
          </w:pPr>
          <w:r>
            <w:rPr>
              <w:rFonts w:asciiTheme="majorHAnsi" w:eastAsiaTheme="majorEastAsia" w:hAnsiTheme="majorHAnsi" w:cstheme="majorBidi"/>
              <w:caps/>
              <w:sz w:val="32"/>
              <w:szCs w:val="32"/>
              <w:lang w:val="en-US"/>
            </w:rPr>
            <w:fldChar w:fldCharType="begin"/>
          </w:r>
          <w:r>
            <w:instrText xml:space="preserve"> TOC \o "1-3" \h \z \u </w:instrText>
          </w:r>
          <w:r>
            <w:rPr>
              <w:rFonts w:asciiTheme="majorHAnsi" w:eastAsiaTheme="majorEastAsia" w:hAnsiTheme="majorHAnsi" w:cstheme="majorBidi"/>
              <w:caps/>
              <w:sz w:val="32"/>
              <w:szCs w:val="32"/>
              <w:lang w:val="en-US"/>
            </w:rPr>
            <w:fldChar w:fldCharType="separate"/>
          </w:r>
          <w:hyperlink w:anchor="_Toc61339337" w:history="1"/>
        </w:p>
        <w:p w14:paraId="33559379" w14:textId="54A929C4" w:rsidR="00D3314E" w:rsidRDefault="00212747">
          <w:pPr>
            <w:pStyle w:val="TOC2"/>
            <w:tabs>
              <w:tab w:val="right" w:leader="dot" w:pos="9628"/>
            </w:tabs>
            <w:rPr>
              <w:rFonts w:asciiTheme="minorHAnsi" w:eastAsiaTheme="minorEastAsia" w:hAnsiTheme="minorHAnsi"/>
              <w:noProof/>
              <w:color w:val="auto"/>
              <w:lang w:eastAsia="en-AU"/>
            </w:rPr>
          </w:pPr>
          <w:hyperlink w:anchor="_Toc61339338" w:history="1">
            <w:r w:rsidR="00D3314E" w:rsidRPr="00AE5D50">
              <w:rPr>
                <w:rStyle w:val="Hyperlink"/>
                <w:noProof/>
              </w:rPr>
              <w:t>BACKGROUND</w:t>
            </w:r>
            <w:r w:rsidR="00D3314E">
              <w:rPr>
                <w:noProof/>
                <w:webHidden/>
              </w:rPr>
              <w:tab/>
            </w:r>
            <w:r w:rsidR="00D3314E">
              <w:rPr>
                <w:noProof/>
                <w:webHidden/>
              </w:rPr>
              <w:fldChar w:fldCharType="begin"/>
            </w:r>
            <w:r w:rsidR="00D3314E">
              <w:rPr>
                <w:noProof/>
                <w:webHidden/>
              </w:rPr>
              <w:instrText xml:space="preserve"> PAGEREF _Toc61339338 \h </w:instrText>
            </w:r>
            <w:r w:rsidR="00D3314E">
              <w:rPr>
                <w:noProof/>
                <w:webHidden/>
              </w:rPr>
            </w:r>
            <w:r w:rsidR="00D3314E">
              <w:rPr>
                <w:noProof/>
                <w:webHidden/>
              </w:rPr>
              <w:fldChar w:fldCharType="separate"/>
            </w:r>
            <w:r w:rsidR="00D3314E">
              <w:rPr>
                <w:noProof/>
                <w:webHidden/>
              </w:rPr>
              <w:t>1</w:t>
            </w:r>
            <w:r w:rsidR="00D3314E">
              <w:rPr>
                <w:noProof/>
                <w:webHidden/>
              </w:rPr>
              <w:fldChar w:fldCharType="end"/>
            </w:r>
          </w:hyperlink>
        </w:p>
        <w:p w14:paraId="75074C17" w14:textId="3D1C9D5A" w:rsidR="00D3314E" w:rsidRDefault="00212747">
          <w:pPr>
            <w:pStyle w:val="TOC2"/>
            <w:tabs>
              <w:tab w:val="right" w:leader="dot" w:pos="9628"/>
            </w:tabs>
            <w:rPr>
              <w:rFonts w:asciiTheme="minorHAnsi" w:eastAsiaTheme="minorEastAsia" w:hAnsiTheme="minorHAnsi"/>
              <w:noProof/>
              <w:color w:val="auto"/>
              <w:lang w:eastAsia="en-AU"/>
            </w:rPr>
          </w:pPr>
          <w:hyperlink w:anchor="_Toc61339339" w:history="1">
            <w:r w:rsidR="00D3314E" w:rsidRPr="00AE5D50">
              <w:rPr>
                <w:rStyle w:val="Hyperlink"/>
                <w:noProof/>
              </w:rPr>
              <w:t>PROSECUTION SERVICES</w:t>
            </w:r>
            <w:r w:rsidR="00D3314E">
              <w:rPr>
                <w:noProof/>
                <w:webHidden/>
              </w:rPr>
              <w:tab/>
            </w:r>
            <w:r w:rsidR="00D3314E">
              <w:rPr>
                <w:noProof/>
                <w:webHidden/>
              </w:rPr>
              <w:fldChar w:fldCharType="begin"/>
            </w:r>
            <w:r w:rsidR="00D3314E">
              <w:rPr>
                <w:noProof/>
                <w:webHidden/>
              </w:rPr>
              <w:instrText xml:space="preserve"> PAGEREF _Toc61339339 \h </w:instrText>
            </w:r>
            <w:r w:rsidR="00D3314E">
              <w:rPr>
                <w:noProof/>
                <w:webHidden/>
              </w:rPr>
            </w:r>
            <w:r w:rsidR="00D3314E">
              <w:rPr>
                <w:noProof/>
                <w:webHidden/>
              </w:rPr>
              <w:fldChar w:fldCharType="separate"/>
            </w:r>
            <w:r w:rsidR="00D3314E">
              <w:rPr>
                <w:noProof/>
                <w:webHidden/>
              </w:rPr>
              <w:t>2</w:t>
            </w:r>
            <w:r w:rsidR="00D3314E">
              <w:rPr>
                <w:noProof/>
                <w:webHidden/>
              </w:rPr>
              <w:fldChar w:fldCharType="end"/>
            </w:r>
          </w:hyperlink>
        </w:p>
        <w:p w14:paraId="33FF04F8" w14:textId="3F36DEF4" w:rsidR="00D3314E" w:rsidRDefault="00212747">
          <w:pPr>
            <w:pStyle w:val="TOC3"/>
            <w:rPr>
              <w:rFonts w:asciiTheme="minorHAnsi" w:eastAsiaTheme="minorEastAsia" w:hAnsiTheme="minorHAnsi"/>
              <w:noProof/>
              <w:color w:val="auto"/>
              <w:lang w:eastAsia="en-AU"/>
            </w:rPr>
          </w:pPr>
          <w:hyperlink w:anchor="_Toc61339340" w:history="1">
            <w:r w:rsidR="00D3314E" w:rsidRPr="00AE5D50">
              <w:rPr>
                <w:rStyle w:val="Hyperlink"/>
                <w:noProof/>
              </w:rPr>
              <w:t>Formal/General Liaison and Liaison Officers</w:t>
            </w:r>
            <w:r w:rsidR="00D3314E">
              <w:rPr>
                <w:noProof/>
                <w:webHidden/>
              </w:rPr>
              <w:tab/>
            </w:r>
            <w:r w:rsidR="00D3314E">
              <w:rPr>
                <w:noProof/>
                <w:webHidden/>
              </w:rPr>
              <w:fldChar w:fldCharType="begin"/>
            </w:r>
            <w:r w:rsidR="00D3314E">
              <w:rPr>
                <w:noProof/>
                <w:webHidden/>
              </w:rPr>
              <w:instrText xml:space="preserve"> PAGEREF _Toc61339340 \h </w:instrText>
            </w:r>
            <w:r w:rsidR="00D3314E">
              <w:rPr>
                <w:noProof/>
                <w:webHidden/>
              </w:rPr>
            </w:r>
            <w:r w:rsidR="00D3314E">
              <w:rPr>
                <w:noProof/>
                <w:webHidden/>
              </w:rPr>
              <w:fldChar w:fldCharType="separate"/>
            </w:r>
            <w:r w:rsidR="00D3314E">
              <w:rPr>
                <w:noProof/>
                <w:webHidden/>
              </w:rPr>
              <w:t>2</w:t>
            </w:r>
            <w:r w:rsidR="00D3314E">
              <w:rPr>
                <w:noProof/>
                <w:webHidden/>
              </w:rPr>
              <w:fldChar w:fldCharType="end"/>
            </w:r>
          </w:hyperlink>
        </w:p>
        <w:p w14:paraId="596E6640" w14:textId="2BFDEB1D" w:rsidR="00D3314E" w:rsidRDefault="00212747">
          <w:pPr>
            <w:pStyle w:val="TOC3"/>
            <w:rPr>
              <w:rFonts w:asciiTheme="minorHAnsi" w:eastAsiaTheme="minorEastAsia" w:hAnsiTheme="minorHAnsi"/>
              <w:noProof/>
              <w:color w:val="auto"/>
              <w:lang w:eastAsia="en-AU"/>
            </w:rPr>
          </w:pPr>
          <w:hyperlink w:anchor="_Toc61339341" w:history="1">
            <w:r w:rsidR="00D3314E" w:rsidRPr="00AE5D50">
              <w:rPr>
                <w:rStyle w:val="Hyperlink"/>
                <w:noProof/>
              </w:rPr>
              <w:t>Pre-Brief Advice</w:t>
            </w:r>
            <w:r w:rsidR="00D3314E">
              <w:rPr>
                <w:noProof/>
                <w:webHidden/>
              </w:rPr>
              <w:tab/>
            </w:r>
            <w:r w:rsidR="00D3314E">
              <w:rPr>
                <w:noProof/>
                <w:webHidden/>
              </w:rPr>
              <w:fldChar w:fldCharType="begin"/>
            </w:r>
            <w:r w:rsidR="00D3314E">
              <w:rPr>
                <w:noProof/>
                <w:webHidden/>
              </w:rPr>
              <w:instrText xml:space="preserve"> PAGEREF _Toc61339341 \h </w:instrText>
            </w:r>
            <w:r w:rsidR="00D3314E">
              <w:rPr>
                <w:noProof/>
                <w:webHidden/>
              </w:rPr>
            </w:r>
            <w:r w:rsidR="00D3314E">
              <w:rPr>
                <w:noProof/>
                <w:webHidden/>
              </w:rPr>
              <w:fldChar w:fldCharType="separate"/>
            </w:r>
            <w:r w:rsidR="00D3314E">
              <w:rPr>
                <w:noProof/>
                <w:webHidden/>
              </w:rPr>
              <w:t>3</w:t>
            </w:r>
            <w:r w:rsidR="00D3314E">
              <w:rPr>
                <w:noProof/>
                <w:webHidden/>
              </w:rPr>
              <w:fldChar w:fldCharType="end"/>
            </w:r>
          </w:hyperlink>
        </w:p>
        <w:p w14:paraId="7B557C03" w14:textId="355B80AB" w:rsidR="00D3314E" w:rsidRDefault="00212747">
          <w:pPr>
            <w:pStyle w:val="TOC3"/>
            <w:rPr>
              <w:rFonts w:asciiTheme="minorHAnsi" w:eastAsiaTheme="minorEastAsia" w:hAnsiTheme="minorHAnsi"/>
              <w:noProof/>
              <w:color w:val="auto"/>
              <w:lang w:eastAsia="en-AU"/>
            </w:rPr>
          </w:pPr>
          <w:hyperlink w:anchor="_Toc61339342" w:history="1">
            <w:r w:rsidR="00D3314E" w:rsidRPr="00AE5D50">
              <w:rPr>
                <w:rStyle w:val="Hyperlink"/>
                <w:noProof/>
              </w:rPr>
              <w:t>Electronic Briefs and Referrals Gateway</w:t>
            </w:r>
            <w:r w:rsidR="00D3314E">
              <w:rPr>
                <w:noProof/>
                <w:webHidden/>
              </w:rPr>
              <w:tab/>
            </w:r>
            <w:r w:rsidR="00D3314E">
              <w:rPr>
                <w:noProof/>
                <w:webHidden/>
              </w:rPr>
              <w:fldChar w:fldCharType="begin"/>
            </w:r>
            <w:r w:rsidR="00D3314E">
              <w:rPr>
                <w:noProof/>
                <w:webHidden/>
              </w:rPr>
              <w:instrText xml:space="preserve"> PAGEREF _Toc61339342 \h </w:instrText>
            </w:r>
            <w:r w:rsidR="00D3314E">
              <w:rPr>
                <w:noProof/>
                <w:webHidden/>
              </w:rPr>
            </w:r>
            <w:r w:rsidR="00D3314E">
              <w:rPr>
                <w:noProof/>
                <w:webHidden/>
              </w:rPr>
              <w:fldChar w:fldCharType="separate"/>
            </w:r>
            <w:r w:rsidR="00D3314E">
              <w:rPr>
                <w:noProof/>
                <w:webHidden/>
              </w:rPr>
              <w:t>3</w:t>
            </w:r>
            <w:r w:rsidR="00D3314E">
              <w:rPr>
                <w:noProof/>
                <w:webHidden/>
              </w:rPr>
              <w:fldChar w:fldCharType="end"/>
            </w:r>
          </w:hyperlink>
        </w:p>
        <w:p w14:paraId="19838C55" w14:textId="3568A014" w:rsidR="00D3314E" w:rsidRDefault="00212747">
          <w:pPr>
            <w:pStyle w:val="TOC3"/>
            <w:rPr>
              <w:rFonts w:asciiTheme="minorHAnsi" w:eastAsiaTheme="minorEastAsia" w:hAnsiTheme="minorHAnsi"/>
              <w:noProof/>
              <w:color w:val="auto"/>
              <w:lang w:eastAsia="en-AU"/>
            </w:rPr>
          </w:pPr>
          <w:hyperlink w:anchor="_Toc61339343" w:history="1">
            <w:r w:rsidR="00D3314E" w:rsidRPr="00AE5D50">
              <w:rPr>
                <w:rStyle w:val="Hyperlink"/>
                <w:noProof/>
              </w:rPr>
              <w:t>Brief Assessment Phase</w:t>
            </w:r>
            <w:r w:rsidR="00D3314E">
              <w:rPr>
                <w:noProof/>
                <w:webHidden/>
              </w:rPr>
              <w:tab/>
            </w:r>
            <w:r w:rsidR="00D3314E">
              <w:rPr>
                <w:noProof/>
                <w:webHidden/>
              </w:rPr>
              <w:fldChar w:fldCharType="begin"/>
            </w:r>
            <w:r w:rsidR="00D3314E">
              <w:rPr>
                <w:noProof/>
                <w:webHidden/>
              </w:rPr>
              <w:instrText xml:space="preserve"> PAGEREF _Toc61339343 \h </w:instrText>
            </w:r>
            <w:r w:rsidR="00D3314E">
              <w:rPr>
                <w:noProof/>
                <w:webHidden/>
              </w:rPr>
            </w:r>
            <w:r w:rsidR="00D3314E">
              <w:rPr>
                <w:noProof/>
                <w:webHidden/>
              </w:rPr>
              <w:fldChar w:fldCharType="separate"/>
            </w:r>
            <w:r w:rsidR="00D3314E">
              <w:rPr>
                <w:noProof/>
                <w:webHidden/>
              </w:rPr>
              <w:t>3</w:t>
            </w:r>
            <w:r w:rsidR="00D3314E">
              <w:rPr>
                <w:noProof/>
                <w:webHidden/>
              </w:rPr>
              <w:fldChar w:fldCharType="end"/>
            </w:r>
          </w:hyperlink>
        </w:p>
        <w:p w14:paraId="66AB5B7D" w14:textId="08BBB1E5" w:rsidR="00D3314E" w:rsidRDefault="00212747">
          <w:pPr>
            <w:pStyle w:val="TOC3"/>
            <w:rPr>
              <w:rFonts w:asciiTheme="minorHAnsi" w:eastAsiaTheme="minorEastAsia" w:hAnsiTheme="minorHAnsi"/>
              <w:noProof/>
              <w:color w:val="auto"/>
              <w:lang w:eastAsia="en-AU"/>
            </w:rPr>
          </w:pPr>
          <w:hyperlink w:anchor="_Toc61339344" w:history="1">
            <w:r w:rsidR="00D3314E" w:rsidRPr="00AE5D50">
              <w:rPr>
                <w:rStyle w:val="Hyperlink"/>
                <w:noProof/>
              </w:rPr>
              <w:t>Court Phase (summary prosecutions, bail, committals, trials and appeals)</w:t>
            </w:r>
            <w:r w:rsidR="00D3314E">
              <w:rPr>
                <w:noProof/>
                <w:webHidden/>
              </w:rPr>
              <w:tab/>
            </w:r>
            <w:r w:rsidR="00D3314E">
              <w:rPr>
                <w:noProof/>
                <w:webHidden/>
              </w:rPr>
              <w:fldChar w:fldCharType="begin"/>
            </w:r>
            <w:r w:rsidR="00D3314E">
              <w:rPr>
                <w:noProof/>
                <w:webHidden/>
              </w:rPr>
              <w:instrText xml:space="preserve"> PAGEREF _Toc61339344 \h </w:instrText>
            </w:r>
            <w:r w:rsidR="00D3314E">
              <w:rPr>
                <w:noProof/>
                <w:webHidden/>
              </w:rPr>
            </w:r>
            <w:r w:rsidR="00D3314E">
              <w:rPr>
                <w:noProof/>
                <w:webHidden/>
              </w:rPr>
              <w:fldChar w:fldCharType="separate"/>
            </w:r>
            <w:r w:rsidR="00D3314E">
              <w:rPr>
                <w:noProof/>
                <w:webHidden/>
              </w:rPr>
              <w:t>4</w:t>
            </w:r>
            <w:r w:rsidR="00D3314E">
              <w:rPr>
                <w:noProof/>
                <w:webHidden/>
              </w:rPr>
              <w:fldChar w:fldCharType="end"/>
            </w:r>
          </w:hyperlink>
        </w:p>
        <w:p w14:paraId="56E1B69B" w14:textId="1A91268D" w:rsidR="00D3314E" w:rsidRDefault="00212747">
          <w:pPr>
            <w:pStyle w:val="TOC3"/>
            <w:rPr>
              <w:rFonts w:asciiTheme="minorHAnsi" w:eastAsiaTheme="minorEastAsia" w:hAnsiTheme="minorHAnsi"/>
              <w:noProof/>
              <w:color w:val="auto"/>
              <w:lang w:eastAsia="en-AU"/>
            </w:rPr>
          </w:pPr>
          <w:hyperlink w:anchor="_Toc61339345" w:history="1">
            <w:r w:rsidR="00D3314E" w:rsidRPr="00AE5D50">
              <w:rPr>
                <w:rStyle w:val="Hyperlink"/>
                <w:noProof/>
              </w:rPr>
              <w:t>Finalisation</w:t>
            </w:r>
            <w:r w:rsidR="00D3314E">
              <w:rPr>
                <w:noProof/>
                <w:webHidden/>
              </w:rPr>
              <w:tab/>
            </w:r>
            <w:r w:rsidR="00D3314E">
              <w:rPr>
                <w:noProof/>
                <w:webHidden/>
              </w:rPr>
              <w:fldChar w:fldCharType="begin"/>
            </w:r>
            <w:r w:rsidR="00D3314E">
              <w:rPr>
                <w:noProof/>
                <w:webHidden/>
              </w:rPr>
              <w:instrText xml:space="preserve"> PAGEREF _Toc61339345 \h </w:instrText>
            </w:r>
            <w:r w:rsidR="00D3314E">
              <w:rPr>
                <w:noProof/>
                <w:webHidden/>
              </w:rPr>
            </w:r>
            <w:r w:rsidR="00D3314E">
              <w:rPr>
                <w:noProof/>
                <w:webHidden/>
              </w:rPr>
              <w:fldChar w:fldCharType="separate"/>
            </w:r>
            <w:r w:rsidR="00D3314E">
              <w:rPr>
                <w:noProof/>
                <w:webHidden/>
              </w:rPr>
              <w:t>4</w:t>
            </w:r>
            <w:r w:rsidR="00D3314E">
              <w:rPr>
                <w:noProof/>
                <w:webHidden/>
              </w:rPr>
              <w:fldChar w:fldCharType="end"/>
            </w:r>
          </w:hyperlink>
        </w:p>
        <w:p w14:paraId="2C273D3D" w14:textId="07D08EC6" w:rsidR="00D3314E" w:rsidRDefault="00212747">
          <w:pPr>
            <w:pStyle w:val="TOC3"/>
            <w:rPr>
              <w:rFonts w:asciiTheme="minorHAnsi" w:eastAsiaTheme="minorEastAsia" w:hAnsiTheme="minorHAnsi"/>
              <w:noProof/>
              <w:color w:val="auto"/>
              <w:lang w:eastAsia="en-AU"/>
            </w:rPr>
          </w:pPr>
          <w:hyperlink w:anchor="_Toc61339346" w:history="1">
            <w:r w:rsidR="00D3314E" w:rsidRPr="00AE5D50">
              <w:rPr>
                <w:rStyle w:val="Hyperlink"/>
                <w:noProof/>
              </w:rPr>
              <w:t>Training and Information Sessions</w:t>
            </w:r>
            <w:r w:rsidR="00D3314E">
              <w:rPr>
                <w:noProof/>
                <w:webHidden/>
              </w:rPr>
              <w:tab/>
            </w:r>
            <w:r w:rsidR="00D3314E">
              <w:rPr>
                <w:noProof/>
                <w:webHidden/>
              </w:rPr>
              <w:fldChar w:fldCharType="begin"/>
            </w:r>
            <w:r w:rsidR="00D3314E">
              <w:rPr>
                <w:noProof/>
                <w:webHidden/>
              </w:rPr>
              <w:instrText xml:space="preserve"> PAGEREF _Toc61339346 \h </w:instrText>
            </w:r>
            <w:r w:rsidR="00D3314E">
              <w:rPr>
                <w:noProof/>
                <w:webHidden/>
              </w:rPr>
            </w:r>
            <w:r w:rsidR="00D3314E">
              <w:rPr>
                <w:noProof/>
                <w:webHidden/>
              </w:rPr>
              <w:fldChar w:fldCharType="separate"/>
            </w:r>
            <w:r w:rsidR="00D3314E">
              <w:rPr>
                <w:noProof/>
                <w:webHidden/>
              </w:rPr>
              <w:t>4</w:t>
            </w:r>
            <w:r w:rsidR="00D3314E">
              <w:rPr>
                <w:noProof/>
                <w:webHidden/>
              </w:rPr>
              <w:fldChar w:fldCharType="end"/>
            </w:r>
          </w:hyperlink>
        </w:p>
        <w:p w14:paraId="78651A55" w14:textId="74D3D19E" w:rsidR="00D3314E" w:rsidRDefault="00212747">
          <w:pPr>
            <w:pStyle w:val="TOC3"/>
            <w:rPr>
              <w:rFonts w:asciiTheme="minorHAnsi" w:eastAsiaTheme="minorEastAsia" w:hAnsiTheme="minorHAnsi"/>
              <w:noProof/>
              <w:color w:val="auto"/>
              <w:lang w:eastAsia="en-AU"/>
            </w:rPr>
          </w:pPr>
          <w:hyperlink w:anchor="_Toc61339347" w:history="1">
            <w:r w:rsidR="00D3314E" w:rsidRPr="00AE5D50">
              <w:rPr>
                <w:rStyle w:val="Hyperlink"/>
                <w:noProof/>
              </w:rPr>
              <w:t>Secondments / Co-location</w:t>
            </w:r>
            <w:r w:rsidR="00D3314E">
              <w:rPr>
                <w:noProof/>
                <w:webHidden/>
              </w:rPr>
              <w:tab/>
            </w:r>
            <w:r w:rsidR="00D3314E">
              <w:rPr>
                <w:noProof/>
                <w:webHidden/>
              </w:rPr>
              <w:fldChar w:fldCharType="begin"/>
            </w:r>
            <w:r w:rsidR="00D3314E">
              <w:rPr>
                <w:noProof/>
                <w:webHidden/>
              </w:rPr>
              <w:instrText xml:space="preserve"> PAGEREF _Toc61339347 \h </w:instrText>
            </w:r>
            <w:r w:rsidR="00D3314E">
              <w:rPr>
                <w:noProof/>
                <w:webHidden/>
              </w:rPr>
            </w:r>
            <w:r w:rsidR="00D3314E">
              <w:rPr>
                <w:noProof/>
                <w:webHidden/>
              </w:rPr>
              <w:fldChar w:fldCharType="separate"/>
            </w:r>
            <w:r w:rsidR="00D3314E">
              <w:rPr>
                <w:noProof/>
                <w:webHidden/>
              </w:rPr>
              <w:t>5</w:t>
            </w:r>
            <w:r w:rsidR="00D3314E">
              <w:rPr>
                <w:noProof/>
                <w:webHidden/>
              </w:rPr>
              <w:fldChar w:fldCharType="end"/>
            </w:r>
          </w:hyperlink>
        </w:p>
        <w:p w14:paraId="59B03287" w14:textId="3C079785" w:rsidR="00D3314E" w:rsidRDefault="00212747">
          <w:pPr>
            <w:pStyle w:val="TOC3"/>
            <w:rPr>
              <w:rFonts w:asciiTheme="minorHAnsi" w:eastAsiaTheme="minorEastAsia" w:hAnsiTheme="minorHAnsi"/>
              <w:noProof/>
              <w:color w:val="auto"/>
              <w:lang w:eastAsia="en-AU"/>
            </w:rPr>
          </w:pPr>
          <w:hyperlink w:anchor="_Toc61339348" w:history="1">
            <w:r w:rsidR="00D3314E" w:rsidRPr="00AE5D50">
              <w:rPr>
                <w:rStyle w:val="Hyperlink"/>
                <w:noProof/>
              </w:rPr>
              <w:t>Partner Agency Portal</w:t>
            </w:r>
            <w:r w:rsidR="00D3314E">
              <w:rPr>
                <w:noProof/>
                <w:webHidden/>
              </w:rPr>
              <w:tab/>
            </w:r>
            <w:r w:rsidR="00D3314E">
              <w:rPr>
                <w:noProof/>
                <w:webHidden/>
              </w:rPr>
              <w:fldChar w:fldCharType="begin"/>
            </w:r>
            <w:r w:rsidR="00D3314E">
              <w:rPr>
                <w:noProof/>
                <w:webHidden/>
              </w:rPr>
              <w:instrText xml:space="preserve"> PAGEREF _Toc61339348 \h </w:instrText>
            </w:r>
            <w:r w:rsidR="00D3314E">
              <w:rPr>
                <w:noProof/>
                <w:webHidden/>
              </w:rPr>
            </w:r>
            <w:r w:rsidR="00D3314E">
              <w:rPr>
                <w:noProof/>
                <w:webHidden/>
              </w:rPr>
              <w:fldChar w:fldCharType="separate"/>
            </w:r>
            <w:r w:rsidR="00D3314E">
              <w:rPr>
                <w:noProof/>
                <w:webHidden/>
              </w:rPr>
              <w:t>5</w:t>
            </w:r>
            <w:r w:rsidR="00D3314E">
              <w:rPr>
                <w:noProof/>
                <w:webHidden/>
              </w:rPr>
              <w:fldChar w:fldCharType="end"/>
            </w:r>
          </w:hyperlink>
        </w:p>
        <w:p w14:paraId="578F446D" w14:textId="6283DF66" w:rsidR="00D3314E" w:rsidRDefault="00212747">
          <w:pPr>
            <w:pStyle w:val="TOC2"/>
            <w:tabs>
              <w:tab w:val="right" w:leader="dot" w:pos="9628"/>
            </w:tabs>
            <w:rPr>
              <w:rFonts w:asciiTheme="minorHAnsi" w:eastAsiaTheme="minorEastAsia" w:hAnsiTheme="minorHAnsi"/>
              <w:noProof/>
              <w:color w:val="auto"/>
              <w:lang w:eastAsia="en-AU"/>
            </w:rPr>
          </w:pPr>
          <w:hyperlink w:anchor="_Toc61339349" w:history="1">
            <w:r w:rsidR="00D3314E" w:rsidRPr="00AE5D50">
              <w:rPr>
                <w:rStyle w:val="Hyperlink"/>
                <w:noProof/>
              </w:rPr>
              <w:t>OTHER KEY RESOURCES RELATING TO PARTNER AGENCIES</w:t>
            </w:r>
            <w:r w:rsidR="00D3314E">
              <w:rPr>
                <w:noProof/>
                <w:webHidden/>
              </w:rPr>
              <w:tab/>
            </w:r>
            <w:r w:rsidR="00D3314E">
              <w:rPr>
                <w:noProof/>
                <w:webHidden/>
              </w:rPr>
              <w:fldChar w:fldCharType="begin"/>
            </w:r>
            <w:r w:rsidR="00D3314E">
              <w:rPr>
                <w:noProof/>
                <w:webHidden/>
              </w:rPr>
              <w:instrText xml:space="preserve"> PAGEREF _Toc61339349 \h </w:instrText>
            </w:r>
            <w:r w:rsidR="00D3314E">
              <w:rPr>
                <w:noProof/>
                <w:webHidden/>
              </w:rPr>
            </w:r>
            <w:r w:rsidR="00D3314E">
              <w:rPr>
                <w:noProof/>
                <w:webHidden/>
              </w:rPr>
              <w:fldChar w:fldCharType="separate"/>
            </w:r>
            <w:r w:rsidR="00D3314E">
              <w:rPr>
                <w:noProof/>
                <w:webHidden/>
              </w:rPr>
              <w:t>5</w:t>
            </w:r>
            <w:r w:rsidR="00D3314E">
              <w:rPr>
                <w:noProof/>
                <w:webHidden/>
              </w:rPr>
              <w:fldChar w:fldCharType="end"/>
            </w:r>
          </w:hyperlink>
        </w:p>
        <w:p w14:paraId="66F261FC" w14:textId="250D61F6" w:rsidR="008B4DA3" w:rsidRDefault="008B4DA3">
          <w:r>
            <w:rPr>
              <w:b/>
              <w:bCs/>
              <w:noProof/>
            </w:rPr>
            <w:fldChar w:fldCharType="end"/>
          </w:r>
        </w:p>
      </w:sdtContent>
    </w:sdt>
    <w:p w14:paraId="7BA5F881" w14:textId="77777777" w:rsidR="000B1A56" w:rsidRPr="009D42DC" w:rsidRDefault="009D42DC" w:rsidP="009D42DC">
      <w:pPr>
        <w:pStyle w:val="Heading2"/>
        <w:spacing w:before="600"/>
      </w:pPr>
      <w:bookmarkStart w:id="2" w:name="_Toc436837645"/>
      <w:bookmarkStart w:id="3" w:name="_Toc398287326"/>
      <w:bookmarkStart w:id="4" w:name="_Toc398287426"/>
      <w:bookmarkStart w:id="5" w:name="_Toc398291389"/>
      <w:bookmarkStart w:id="6" w:name="_Toc61339338"/>
      <w:bookmarkStart w:id="7" w:name="_Toc398287325"/>
      <w:bookmarkStart w:id="8" w:name="_Toc398287425"/>
      <w:bookmarkStart w:id="9" w:name="_Toc398291388"/>
      <w:r w:rsidRPr="009D42DC">
        <w:t>BACKGROUND</w:t>
      </w:r>
      <w:bookmarkEnd w:id="2"/>
      <w:bookmarkEnd w:id="3"/>
      <w:bookmarkEnd w:id="4"/>
      <w:bookmarkEnd w:id="5"/>
      <w:bookmarkEnd w:id="6"/>
    </w:p>
    <w:p w14:paraId="293B65A6" w14:textId="29BCCF22" w:rsidR="00C56DAA" w:rsidRDefault="00735D08" w:rsidP="002A0EB5">
      <w:pPr>
        <w:pStyle w:val="NLDbody"/>
      </w:pPr>
      <w:r>
        <w:t xml:space="preserve">Strong relationships between the CDPP and investigative agencies is fundamental to the efficient and effective delivery of prosecution services to </w:t>
      </w:r>
      <w:r w:rsidR="00594E2A">
        <w:t xml:space="preserve">agencies and </w:t>
      </w:r>
      <w:r>
        <w:t xml:space="preserve">the Australian community.  </w:t>
      </w:r>
      <w:r w:rsidR="00C56DAA">
        <w:t xml:space="preserve">The CDPP is referred briefs of evidence by over 40 federal agencies as well as from State and Territory police forces.  Many of those agencies have a long history of working collaboratively with the CDPP.  The CDPP </w:t>
      </w:r>
      <w:r w:rsidR="00E439E4">
        <w:t xml:space="preserve">places great </w:t>
      </w:r>
      <w:r w:rsidR="00C56DAA">
        <w:t>value</w:t>
      </w:r>
      <w:r w:rsidR="00042B4E">
        <w:t xml:space="preserve"> on</w:t>
      </w:r>
      <w:r w:rsidR="00C56DAA">
        <w:t xml:space="preserve"> the strong relationships which it has with </w:t>
      </w:r>
      <w:proofErr w:type="gramStart"/>
      <w:r w:rsidR="00C56DAA">
        <w:t>all of</w:t>
      </w:r>
      <w:proofErr w:type="gramEnd"/>
      <w:r w:rsidR="00C56DAA">
        <w:t xml:space="preserve"> its partner agencies and recognises the vital role agencies play throughout the entire prosecution process.  It is not possible for the CDPP to fulfil its strategic objectives without closely partnering with investigative agencies.  </w:t>
      </w:r>
    </w:p>
    <w:p w14:paraId="66B763A6" w14:textId="4B631BD3" w:rsidR="00C56DAA" w:rsidRDefault="00C56DAA" w:rsidP="002A0EB5">
      <w:pPr>
        <w:pStyle w:val="NLDbody"/>
      </w:pPr>
      <w:r>
        <w:t xml:space="preserve">The CDPP is committed to taking every opportunity to </w:t>
      </w:r>
      <w:r w:rsidR="00594E2A">
        <w:t xml:space="preserve">enhance the quality of the service it delivers to agencies and to </w:t>
      </w:r>
      <w:r>
        <w:t xml:space="preserve">further strengthen its relationships with agencies through </w:t>
      </w:r>
      <w:r w:rsidR="00E439E4">
        <w:t xml:space="preserve">both </w:t>
      </w:r>
      <w:r>
        <w:t xml:space="preserve">traditional forms of engagement </w:t>
      </w:r>
      <w:r w:rsidR="00E439E4">
        <w:t xml:space="preserve">and </w:t>
      </w:r>
      <w:r>
        <w:t xml:space="preserve">more innovative approaches. The CDPP recognises that building deeper relationships comes from engagement in a variety of ways and </w:t>
      </w:r>
      <w:r w:rsidR="00800980">
        <w:t>at</w:t>
      </w:r>
      <w:r>
        <w:t xml:space="preserve"> all levels of the organisation, from case officers through to senior managers. Fundamental to the strength of the relationship with each investigative agency is an understanding of one another’s objectives, strategic goals and processes. </w:t>
      </w:r>
      <w:r w:rsidR="00735D08">
        <w:t xml:space="preserve">The CDPP is committed to understanding the objectives, strategies and processes of partner agencies and to assisting them to fulfil those objectives through a process of ongoing engagement.  </w:t>
      </w:r>
      <w:r>
        <w:t>Such engagement take</w:t>
      </w:r>
      <w:r w:rsidR="00835D00">
        <w:t>s</w:t>
      </w:r>
      <w:r>
        <w:t xml:space="preserve"> the form of general liaison (</w:t>
      </w:r>
      <w:r w:rsidR="002F6F80">
        <w:t>often</w:t>
      </w:r>
      <w:r>
        <w:t xml:space="preserve"> through a network of specialised liaison officers), </w:t>
      </w:r>
      <w:proofErr w:type="gramStart"/>
      <w:r>
        <w:t>case based</w:t>
      </w:r>
      <w:proofErr w:type="gramEnd"/>
      <w:r>
        <w:t xml:space="preserve"> </w:t>
      </w:r>
      <w:r>
        <w:lastRenderedPageBreak/>
        <w:t>meetings</w:t>
      </w:r>
      <w:r w:rsidR="00800980">
        <w:t xml:space="preserve"> and </w:t>
      </w:r>
      <w:r w:rsidR="004F4711">
        <w:t>litigation</w:t>
      </w:r>
      <w:r>
        <w:t>, case reviews, training opportunities, information sessions, field trips and secondments</w:t>
      </w:r>
      <w:r w:rsidR="009E4DBC">
        <w:t>, the provision of key resources through CDPP’s partner agency portal and assistance on e-briefs</w:t>
      </w:r>
      <w:r>
        <w:t>.</w:t>
      </w:r>
      <w:r w:rsidR="00042B4E">
        <w:t xml:space="preserve">  </w:t>
      </w:r>
      <w:r w:rsidR="00800980">
        <w:t xml:space="preserve">When viewed in this way, each CDPP staff member is a critical part of </w:t>
      </w:r>
      <w:r w:rsidR="0051324F">
        <w:t>the liaison/engagement process.</w:t>
      </w:r>
    </w:p>
    <w:p w14:paraId="2476C90C" w14:textId="77777777" w:rsidR="00C56DAA" w:rsidRDefault="00C56DAA" w:rsidP="002A0EB5">
      <w:pPr>
        <w:pStyle w:val="NLDbody"/>
      </w:pPr>
      <w:r>
        <w:t xml:space="preserve">The </w:t>
      </w:r>
      <w:r w:rsidR="002F6F80">
        <w:t xml:space="preserve">nature and timing of the </w:t>
      </w:r>
      <w:r>
        <w:t>CDPP’s engagement with partner agencies is unique amongst prosecuting a</w:t>
      </w:r>
      <w:r w:rsidR="00594E2A">
        <w:t>uthorities</w:t>
      </w:r>
      <w:r>
        <w:t xml:space="preserve"> in Australia.  A key example is the </w:t>
      </w:r>
      <w:r w:rsidR="00800980">
        <w:t xml:space="preserve">extent of </w:t>
      </w:r>
      <w:r>
        <w:t xml:space="preserve">pre-brief </w:t>
      </w:r>
      <w:r w:rsidR="00594E2A">
        <w:t>service</w:t>
      </w:r>
      <w:r>
        <w:t xml:space="preserve"> that the CDPP provides.  The CDPP </w:t>
      </w:r>
      <w:r w:rsidR="002F6F80">
        <w:t xml:space="preserve">is cognisant of the fact </w:t>
      </w:r>
      <w:r>
        <w:t>that early assistance to agencies provides the opportunity for more targeted investigations</w:t>
      </w:r>
      <w:r w:rsidR="00042B4E">
        <w:t xml:space="preserve"> and </w:t>
      </w:r>
      <w:r w:rsidR="009732A5">
        <w:t xml:space="preserve">higher quality </w:t>
      </w:r>
      <w:r w:rsidR="00042B4E">
        <w:t>briefs</w:t>
      </w:r>
      <w:r>
        <w:t xml:space="preserve"> which can assist agencies better utilise their precious investigative resources.</w:t>
      </w:r>
      <w:r w:rsidR="00042B4E">
        <w:t xml:space="preserve">  Early engagement facilitates the ability of the CDPP to be responsive to, and a partner in, achieving the enforcement and regulatory priorities of investigative agencies.</w:t>
      </w:r>
    </w:p>
    <w:p w14:paraId="7C0BA0DB" w14:textId="55D4B410" w:rsidR="00C56DAA" w:rsidRDefault="004F4711" w:rsidP="002A0EB5">
      <w:pPr>
        <w:pStyle w:val="NLDbody"/>
      </w:pPr>
      <w:r>
        <w:t>The CDPP has formulated a general Guideline</w:t>
      </w:r>
      <w:r>
        <w:rPr>
          <w:rStyle w:val="FootnoteReference"/>
        </w:rPr>
        <w:footnoteReference w:id="1"/>
      </w:r>
      <w:r>
        <w:t xml:space="preserve"> to provide a </w:t>
      </w:r>
      <w:r w:rsidR="00DB6586">
        <w:t xml:space="preserve">governance </w:t>
      </w:r>
      <w:r>
        <w:t xml:space="preserve">framework outlining the roles and responsibilities of the investigative agency and the CDPP throughout the prosecution process.  This assists in managing expectations and supports the working relationship.  </w:t>
      </w:r>
      <w:r w:rsidR="009D0346">
        <w:t>M</w:t>
      </w:r>
      <w:r w:rsidR="00C56DAA">
        <w:t>emoranda of Understanding with the CDPP</w:t>
      </w:r>
      <w:r w:rsidR="00DB6586">
        <w:t xml:space="preserve"> can be used </w:t>
      </w:r>
      <w:r>
        <w:t>as an a</w:t>
      </w:r>
      <w:r w:rsidR="00DB6586">
        <w:t xml:space="preserve">dditional mechanism where a bespoke arrangement governing </w:t>
      </w:r>
      <w:proofErr w:type="gramStart"/>
      <w:r w:rsidR="00DB6586">
        <w:t>particular activities</w:t>
      </w:r>
      <w:proofErr w:type="gramEnd"/>
      <w:r w:rsidR="00DB6586">
        <w:t xml:space="preserve"> is needed</w:t>
      </w:r>
      <w:r w:rsidR="00C56DAA">
        <w:t xml:space="preserve">.  </w:t>
      </w:r>
    </w:p>
    <w:p w14:paraId="6526E70B" w14:textId="6C64EA09" w:rsidR="00C56DAA" w:rsidRDefault="00C56DAA" w:rsidP="002A0EB5">
      <w:pPr>
        <w:pStyle w:val="NLDbody"/>
      </w:pPr>
      <w:r>
        <w:t>The CDPP is an independent statutory agency.  The Prosecution Policy of the Commonwealth (</w:t>
      </w:r>
      <w:r w:rsidR="00FD3982">
        <w:t xml:space="preserve">‘the </w:t>
      </w:r>
      <w:r>
        <w:t>P</w:t>
      </w:r>
      <w:r w:rsidR="004F4711">
        <w:t>rosecution Policy</w:t>
      </w:r>
      <w:r w:rsidR="00FD3982">
        <w:t>’</w:t>
      </w:r>
      <w:r>
        <w:t xml:space="preserve">) and the </w:t>
      </w:r>
      <w:r w:rsidRPr="009732A5">
        <w:rPr>
          <w:i/>
        </w:rPr>
        <w:t>Director of Public Prosecutions Act 1983 (</w:t>
      </w:r>
      <w:proofErr w:type="spellStart"/>
      <w:r w:rsidRPr="009732A5">
        <w:rPr>
          <w:i/>
        </w:rPr>
        <w:t>Cth</w:t>
      </w:r>
      <w:proofErr w:type="spellEnd"/>
      <w:r w:rsidRPr="009732A5">
        <w:rPr>
          <w:i/>
        </w:rPr>
        <w:t>)</w:t>
      </w:r>
      <w:r>
        <w:t xml:space="preserve"> underpin the CDPP’s decision making and processes.  This framework does not inhibit proactive, innovative and extensive engagement with agencies.  Indeed, the P</w:t>
      </w:r>
      <w:r w:rsidR="004F4711">
        <w:t>rosecution Policy</w:t>
      </w:r>
      <w:r>
        <w:t xml:space="preserve"> clearly recognises the importance of collaborative partnerships between the office and investigative agencies.  The CDPP recognises and respects that whilst </w:t>
      </w:r>
      <w:r w:rsidR="002F6F80">
        <w:t xml:space="preserve">legal </w:t>
      </w:r>
      <w:r>
        <w:t>advic</w:t>
      </w:r>
      <w:r w:rsidR="00BF0B6D">
        <w:t xml:space="preserve">e might be given to an agency, </w:t>
      </w:r>
      <w:r>
        <w:t xml:space="preserve">operational </w:t>
      </w:r>
      <w:r w:rsidR="00D51A5C">
        <w:t>decisions must be made by the</w:t>
      </w:r>
      <w:r>
        <w:t xml:space="preserve"> agency</w:t>
      </w:r>
      <w:r w:rsidR="00D51A5C">
        <w:rPr>
          <w:rStyle w:val="FootnoteReference"/>
        </w:rPr>
        <w:footnoteReference w:id="2"/>
      </w:r>
      <w:r>
        <w:t>.</w:t>
      </w:r>
    </w:p>
    <w:p w14:paraId="180D2F9E" w14:textId="77777777" w:rsidR="000B1A56" w:rsidRPr="009D42DC" w:rsidRDefault="009D42DC" w:rsidP="00824FE5">
      <w:pPr>
        <w:pStyle w:val="PROSSERVICEHEADING"/>
      </w:pPr>
      <w:bookmarkStart w:id="10" w:name="_Toc436837646"/>
      <w:bookmarkStart w:id="11" w:name="_Toc61339339"/>
      <w:r w:rsidRPr="009D42DC">
        <w:t>PROSECUTION SERVICES</w:t>
      </w:r>
      <w:bookmarkEnd w:id="7"/>
      <w:bookmarkEnd w:id="8"/>
      <w:bookmarkEnd w:id="9"/>
      <w:bookmarkEnd w:id="10"/>
      <w:bookmarkEnd w:id="11"/>
    </w:p>
    <w:p w14:paraId="4CE87F6A" w14:textId="77777777" w:rsidR="004C6049" w:rsidRPr="005B20BC" w:rsidRDefault="004C6049" w:rsidP="008B4DA3">
      <w:pPr>
        <w:pStyle w:val="Heading3"/>
      </w:pPr>
      <w:bookmarkStart w:id="12" w:name="_Toc61339340"/>
      <w:bookmarkStart w:id="13" w:name="_Toc436837647"/>
      <w:r>
        <w:t>Formal/General</w:t>
      </w:r>
      <w:r w:rsidRPr="005B20BC">
        <w:t xml:space="preserve"> Liaison and Liaison Officers</w:t>
      </w:r>
      <w:bookmarkEnd w:id="12"/>
    </w:p>
    <w:p w14:paraId="0E6CD622" w14:textId="77777777" w:rsidR="004F4711" w:rsidRPr="00B009AB" w:rsidRDefault="004F4711" w:rsidP="00824FE5">
      <w:pPr>
        <w:pStyle w:val="NumberedList1"/>
        <w:numPr>
          <w:ilvl w:val="0"/>
          <w:numId w:val="12"/>
        </w:numPr>
        <w:tabs>
          <w:tab w:val="left" w:pos="567"/>
        </w:tabs>
        <w:spacing w:line="276" w:lineRule="auto"/>
        <w:ind w:left="567" w:hanging="567"/>
        <w:jc w:val="both"/>
      </w:pPr>
      <w:r>
        <w:t xml:space="preserve">The </w:t>
      </w:r>
      <w:r>
        <w:rPr>
          <w:rFonts w:asciiTheme="majorHAnsi" w:hAnsiTheme="majorHAnsi"/>
        </w:rPr>
        <w:t>CDPP consists of six</w:t>
      </w:r>
      <w:r w:rsidRPr="001A728D">
        <w:rPr>
          <w:rFonts w:asciiTheme="majorHAnsi" w:hAnsiTheme="majorHAnsi"/>
        </w:rPr>
        <w:t xml:space="preserve"> specialised Legal Practice Groups, ea</w:t>
      </w:r>
      <w:r>
        <w:rPr>
          <w:rFonts w:asciiTheme="majorHAnsi" w:hAnsiTheme="majorHAnsi"/>
        </w:rPr>
        <w:t xml:space="preserve">ch headed by a </w:t>
      </w:r>
      <w:r w:rsidR="009D0346">
        <w:rPr>
          <w:rFonts w:asciiTheme="majorHAnsi" w:hAnsiTheme="majorHAnsi"/>
        </w:rPr>
        <w:t>Practice Group Leader</w:t>
      </w:r>
      <w:r w:rsidR="009D0346">
        <w:rPr>
          <w:rStyle w:val="FootnoteReference"/>
          <w:rFonts w:asciiTheme="majorHAnsi" w:hAnsiTheme="majorHAnsi"/>
        </w:rPr>
        <w:footnoteReference w:id="3"/>
      </w:r>
      <w:r>
        <w:rPr>
          <w:rFonts w:asciiTheme="majorHAnsi" w:hAnsiTheme="majorHAnsi"/>
        </w:rPr>
        <w:t xml:space="preserve">, </w:t>
      </w:r>
      <w:r w:rsidRPr="001A728D">
        <w:rPr>
          <w:rFonts w:asciiTheme="majorHAnsi" w:hAnsiTheme="majorHAnsi"/>
        </w:rPr>
        <w:t xml:space="preserve">who is responsible for teams of lawyers in each State or Territory. </w:t>
      </w:r>
      <w:r>
        <w:rPr>
          <w:rFonts w:asciiTheme="majorHAnsi" w:hAnsiTheme="majorHAnsi"/>
        </w:rPr>
        <w:t xml:space="preserve"> </w:t>
      </w:r>
      <w:r w:rsidRPr="001A728D">
        <w:rPr>
          <w:rFonts w:asciiTheme="majorHAnsi" w:hAnsiTheme="majorHAnsi"/>
        </w:rPr>
        <w:t>The</w:t>
      </w:r>
      <w:r>
        <w:rPr>
          <w:rFonts w:asciiTheme="majorHAnsi" w:hAnsiTheme="majorHAnsi"/>
        </w:rPr>
        <w:t>se</w:t>
      </w:r>
      <w:r w:rsidRPr="001A728D">
        <w:rPr>
          <w:rFonts w:asciiTheme="majorHAnsi" w:hAnsiTheme="majorHAnsi"/>
        </w:rPr>
        <w:t xml:space="preserve"> Practice Groups are responsible for the following key </w:t>
      </w:r>
      <w:r>
        <w:rPr>
          <w:rFonts w:asciiTheme="majorHAnsi" w:hAnsiTheme="majorHAnsi"/>
        </w:rPr>
        <w:t xml:space="preserve">areas: </w:t>
      </w:r>
    </w:p>
    <w:p w14:paraId="005F9AEA" w14:textId="77777777" w:rsidR="004F4711" w:rsidRPr="00B009AB" w:rsidRDefault="004F4711" w:rsidP="004F4711">
      <w:pPr>
        <w:pStyle w:val="NumberedList1"/>
        <w:numPr>
          <w:ilvl w:val="0"/>
          <w:numId w:val="23"/>
        </w:numPr>
        <w:spacing w:line="276" w:lineRule="auto"/>
        <w:jc w:val="both"/>
      </w:pPr>
      <w:r w:rsidRPr="008250EC">
        <w:rPr>
          <w:rFonts w:asciiTheme="majorHAnsi" w:hAnsiTheme="majorHAnsi"/>
        </w:rPr>
        <w:t>Commercial, Financial</w:t>
      </w:r>
      <w:r w:rsidR="009D0346">
        <w:rPr>
          <w:rFonts w:asciiTheme="majorHAnsi" w:hAnsiTheme="majorHAnsi"/>
        </w:rPr>
        <w:t xml:space="preserve"> and</w:t>
      </w:r>
      <w:r w:rsidRPr="008250EC">
        <w:rPr>
          <w:rFonts w:asciiTheme="majorHAnsi" w:hAnsiTheme="majorHAnsi"/>
        </w:rPr>
        <w:t xml:space="preserve"> Corruption</w:t>
      </w:r>
      <w:r>
        <w:rPr>
          <w:rFonts w:asciiTheme="majorHAnsi" w:hAnsiTheme="majorHAnsi"/>
        </w:rPr>
        <w:t>;</w:t>
      </w:r>
    </w:p>
    <w:p w14:paraId="6EC6BE33" w14:textId="77777777" w:rsidR="004F4711" w:rsidRPr="00B009AB" w:rsidRDefault="004F4711" w:rsidP="004F4711">
      <w:pPr>
        <w:pStyle w:val="NumberedList1"/>
        <w:numPr>
          <w:ilvl w:val="0"/>
          <w:numId w:val="23"/>
        </w:numPr>
        <w:spacing w:line="276" w:lineRule="auto"/>
        <w:jc w:val="both"/>
      </w:pPr>
      <w:r w:rsidRPr="008250EC">
        <w:rPr>
          <w:rFonts w:asciiTheme="majorHAnsi" w:hAnsiTheme="majorHAnsi"/>
        </w:rPr>
        <w:t xml:space="preserve">Revenue </w:t>
      </w:r>
      <w:r w:rsidR="009D0346">
        <w:rPr>
          <w:rFonts w:asciiTheme="majorHAnsi" w:hAnsiTheme="majorHAnsi"/>
        </w:rPr>
        <w:t>and</w:t>
      </w:r>
      <w:r w:rsidRPr="008250EC">
        <w:rPr>
          <w:rFonts w:asciiTheme="majorHAnsi" w:hAnsiTheme="majorHAnsi"/>
        </w:rPr>
        <w:t xml:space="preserve"> Benefits Fraud</w:t>
      </w:r>
      <w:r>
        <w:rPr>
          <w:rFonts w:asciiTheme="majorHAnsi" w:hAnsiTheme="majorHAnsi"/>
        </w:rPr>
        <w:t>;</w:t>
      </w:r>
    </w:p>
    <w:p w14:paraId="597B9766" w14:textId="77777777" w:rsidR="004F4711" w:rsidRPr="00B009AB" w:rsidRDefault="004F4711" w:rsidP="004F4711">
      <w:pPr>
        <w:pStyle w:val="NumberedList1"/>
        <w:numPr>
          <w:ilvl w:val="0"/>
          <w:numId w:val="23"/>
        </w:numPr>
        <w:spacing w:line="276" w:lineRule="auto"/>
        <w:jc w:val="both"/>
      </w:pPr>
      <w:r w:rsidRPr="008250EC">
        <w:rPr>
          <w:rFonts w:asciiTheme="majorHAnsi" w:hAnsiTheme="majorHAnsi"/>
        </w:rPr>
        <w:t>International Assistance and Specialist Agencies</w:t>
      </w:r>
      <w:r>
        <w:rPr>
          <w:rFonts w:asciiTheme="majorHAnsi" w:hAnsiTheme="majorHAnsi"/>
        </w:rPr>
        <w:t>;</w:t>
      </w:r>
    </w:p>
    <w:p w14:paraId="756C096E" w14:textId="77777777" w:rsidR="004F4711" w:rsidRPr="00B009AB" w:rsidRDefault="004F4711" w:rsidP="004F4711">
      <w:pPr>
        <w:pStyle w:val="NumberedList1"/>
        <w:numPr>
          <w:ilvl w:val="0"/>
          <w:numId w:val="23"/>
        </w:numPr>
        <w:spacing w:line="276" w:lineRule="auto"/>
        <w:jc w:val="both"/>
      </w:pPr>
      <w:r w:rsidRPr="008250EC">
        <w:rPr>
          <w:rFonts w:asciiTheme="majorHAnsi" w:hAnsiTheme="majorHAnsi"/>
        </w:rPr>
        <w:t xml:space="preserve">Organised Crime </w:t>
      </w:r>
      <w:r w:rsidR="009D0346">
        <w:rPr>
          <w:rFonts w:asciiTheme="majorHAnsi" w:hAnsiTheme="majorHAnsi"/>
        </w:rPr>
        <w:t>and</w:t>
      </w:r>
      <w:r w:rsidRPr="008250EC">
        <w:rPr>
          <w:rFonts w:asciiTheme="majorHAnsi" w:hAnsiTheme="majorHAnsi"/>
        </w:rPr>
        <w:t xml:space="preserve"> Counter Terrorism</w:t>
      </w:r>
      <w:r>
        <w:rPr>
          <w:rFonts w:asciiTheme="majorHAnsi" w:hAnsiTheme="majorHAnsi"/>
        </w:rPr>
        <w:t>;</w:t>
      </w:r>
    </w:p>
    <w:p w14:paraId="4CB2B7F2" w14:textId="77777777" w:rsidR="004F4711" w:rsidRPr="00B009AB" w:rsidRDefault="004F4711" w:rsidP="004F4711">
      <w:pPr>
        <w:pStyle w:val="NumberedList1"/>
        <w:numPr>
          <w:ilvl w:val="0"/>
          <w:numId w:val="23"/>
        </w:numPr>
        <w:spacing w:line="276" w:lineRule="auto"/>
        <w:jc w:val="both"/>
      </w:pPr>
      <w:r w:rsidRPr="008250EC">
        <w:rPr>
          <w:rFonts w:asciiTheme="majorHAnsi" w:hAnsiTheme="majorHAnsi"/>
        </w:rPr>
        <w:t>Illegal Imports and Exports</w:t>
      </w:r>
      <w:r>
        <w:rPr>
          <w:rFonts w:asciiTheme="majorHAnsi" w:hAnsiTheme="majorHAnsi"/>
        </w:rPr>
        <w:t>; and</w:t>
      </w:r>
    </w:p>
    <w:p w14:paraId="7F47A9D5" w14:textId="77777777" w:rsidR="004F4711" w:rsidRDefault="004F4711" w:rsidP="004F4711">
      <w:pPr>
        <w:pStyle w:val="NumberedList1"/>
        <w:numPr>
          <w:ilvl w:val="0"/>
          <w:numId w:val="23"/>
        </w:numPr>
        <w:spacing w:line="276" w:lineRule="auto"/>
        <w:jc w:val="both"/>
      </w:pPr>
      <w:r>
        <w:rPr>
          <w:rFonts w:asciiTheme="majorHAnsi" w:hAnsiTheme="majorHAnsi"/>
        </w:rPr>
        <w:t>Human Exploitation and Border Protection.</w:t>
      </w:r>
    </w:p>
    <w:p w14:paraId="7B4B584C" w14:textId="77777777" w:rsidR="004F4711" w:rsidRDefault="004F4711" w:rsidP="00824FE5">
      <w:pPr>
        <w:pStyle w:val="NumberedList1"/>
        <w:spacing w:line="276" w:lineRule="auto"/>
        <w:ind w:left="567" w:firstLine="0"/>
        <w:jc w:val="both"/>
      </w:pPr>
    </w:p>
    <w:p w14:paraId="148748A2" w14:textId="12403A92" w:rsidR="004F4711" w:rsidRDefault="004C6049" w:rsidP="002A0EB5">
      <w:pPr>
        <w:pStyle w:val="NLDbody"/>
      </w:pPr>
      <w:r>
        <w:t>Formal liaison occurs with most agencies, via a framework of liaison meetings (</w:t>
      </w:r>
      <w:r w:rsidR="00707C17">
        <w:t xml:space="preserve">both </w:t>
      </w:r>
      <w:r>
        <w:t xml:space="preserve">national Practice Group liaison and regional Branch liaison).  Larger agencies will usually meet </w:t>
      </w:r>
      <w:r w:rsidR="00FB41A9">
        <w:t>regularly</w:t>
      </w:r>
      <w:r>
        <w:t xml:space="preserve"> with the CDPP</w:t>
      </w:r>
      <w:r w:rsidR="00FB41A9">
        <w:t xml:space="preserve"> </w:t>
      </w:r>
      <w:r w:rsidR="00FB41A9">
        <w:lastRenderedPageBreak/>
        <w:t>(often quarterly)</w:t>
      </w:r>
      <w:r>
        <w:t xml:space="preserve">, enabling each to provide an </w:t>
      </w:r>
      <w:r w:rsidR="00707C17">
        <w:t xml:space="preserve">agency </w:t>
      </w:r>
      <w:r>
        <w:t>update, identify trends and emerging issues</w:t>
      </w:r>
      <w:r w:rsidR="00D6175D">
        <w:t>, to provide forecasts regarding referrals</w:t>
      </w:r>
      <w:r>
        <w:t xml:space="preserve"> and to provide case updates on more important matters.  In between liaison meetings, and for non-case based </w:t>
      </w:r>
      <w:r w:rsidR="004F4711">
        <w:t xml:space="preserve">and general </w:t>
      </w:r>
      <w:r>
        <w:t xml:space="preserve">enquiries, </w:t>
      </w:r>
      <w:r w:rsidR="00707C17">
        <w:t>dedicated</w:t>
      </w:r>
      <w:r>
        <w:t xml:space="preserve"> liaison officer</w:t>
      </w:r>
      <w:r w:rsidR="00707C17">
        <w:t>s</w:t>
      </w:r>
      <w:r w:rsidR="009D0346">
        <w:t xml:space="preserve"> </w:t>
      </w:r>
      <w:r w:rsidR="004F4711">
        <w:t>or Practice Group Co-ordinators</w:t>
      </w:r>
      <w:r>
        <w:t xml:space="preserve"> </w:t>
      </w:r>
      <w:r w:rsidR="00707C17">
        <w:t>are</w:t>
      </w:r>
      <w:r>
        <w:t xml:space="preserve"> available to respond to queri</w:t>
      </w:r>
      <w:r w:rsidR="0051324F">
        <w:t>es that the agency might have.</w:t>
      </w:r>
      <w:r w:rsidR="004F4711">
        <w:t xml:space="preserve">  Details as to which crime types come within a </w:t>
      </w:r>
      <w:proofErr w:type="gramStart"/>
      <w:r w:rsidR="004F4711">
        <w:t>particular Practice</w:t>
      </w:r>
      <w:proofErr w:type="gramEnd"/>
      <w:r w:rsidR="004F4711">
        <w:t xml:space="preserve"> Group can be found on the Partner Agency Portal via the CDPP</w:t>
      </w:r>
      <w:r w:rsidR="00D10AB3">
        <w:t xml:space="preserve">’s </w:t>
      </w:r>
      <w:r w:rsidR="004F4711">
        <w:t xml:space="preserve">website. </w:t>
      </w:r>
      <w:r w:rsidR="004F4711">
        <w:rPr>
          <w:rStyle w:val="FootnoteReference"/>
        </w:rPr>
        <w:footnoteReference w:id="4"/>
      </w:r>
    </w:p>
    <w:p w14:paraId="2CAD2F0C" w14:textId="77777777" w:rsidR="00FF05EB" w:rsidRPr="008B4DA3" w:rsidRDefault="00C56DAA" w:rsidP="00824FE5">
      <w:pPr>
        <w:pStyle w:val="Heading3"/>
        <w:tabs>
          <w:tab w:val="left" w:pos="720"/>
        </w:tabs>
        <w:ind w:left="567" w:hanging="567"/>
      </w:pPr>
      <w:bookmarkStart w:id="14" w:name="_Toc61339341"/>
      <w:r w:rsidRPr="008B4DA3">
        <w:t>Pre</w:t>
      </w:r>
      <w:r w:rsidR="00D757A4" w:rsidRPr="008B4DA3">
        <w:t>-</w:t>
      </w:r>
      <w:r w:rsidRPr="008B4DA3">
        <w:t>Brief Advice</w:t>
      </w:r>
      <w:bookmarkEnd w:id="13"/>
      <w:bookmarkEnd w:id="14"/>
    </w:p>
    <w:p w14:paraId="0AF2BCA6" w14:textId="5019C61F" w:rsidR="00C56DAA" w:rsidRDefault="00C56DAA" w:rsidP="002A0EB5">
      <w:pPr>
        <w:pStyle w:val="NLDbody"/>
      </w:pPr>
      <w:bookmarkStart w:id="15" w:name="_Toc436837648"/>
      <w:r>
        <w:t>This service is available</w:t>
      </w:r>
      <w:r w:rsidR="00042B4E">
        <w:t xml:space="preserve"> to all partner agencies</w:t>
      </w:r>
      <w:r>
        <w:t xml:space="preserve"> in matters </w:t>
      </w:r>
      <w:r w:rsidR="009D0346">
        <w:t>that</w:t>
      </w:r>
      <w:r>
        <w:t xml:space="preserve"> are sensitive, significant, complex or major, </w:t>
      </w:r>
      <w:r w:rsidR="009D0346">
        <w:t>that</w:t>
      </w:r>
      <w:r>
        <w:t xml:space="preserve"> are of </w:t>
      </w:r>
      <w:proofErr w:type="gramStart"/>
      <w:r>
        <w:t>particular importance</w:t>
      </w:r>
      <w:proofErr w:type="gramEnd"/>
      <w:r>
        <w:t xml:space="preserve"> to an agency’s enforcement strategy</w:t>
      </w:r>
      <w:r w:rsidR="004C6049">
        <w:t xml:space="preserve">, </w:t>
      </w:r>
      <w:r w:rsidR="009D0346">
        <w:t>that</w:t>
      </w:r>
      <w:r w:rsidR="004C6049">
        <w:t xml:space="preserve"> have significant resource implications </w:t>
      </w:r>
      <w:r>
        <w:t xml:space="preserve">or </w:t>
      </w:r>
      <w:r w:rsidR="009D0346">
        <w:t>that</w:t>
      </w:r>
      <w:r>
        <w:t xml:space="preserve"> are likely to have an impact on a broader class of cases.  Senior members of staff provide this </w:t>
      </w:r>
      <w:r w:rsidR="002F6F80">
        <w:t xml:space="preserve">type of </w:t>
      </w:r>
      <w:r>
        <w:t>advice.  The CDPP regards the provision of pre</w:t>
      </w:r>
      <w:r w:rsidR="00D757A4">
        <w:t>-</w:t>
      </w:r>
      <w:r>
        <w:t>brief advice to investigative agencies as a valuable practice that is in the interest</w:t>
      </w:r>
      <w:r w:rsidR="00707C17">
        <w:t>s</w:t>
      </w:r>
      <w:r>
        <w:t xml:space="preserve"> of both the CDPP and agencies.  Advice may pertain to </w:t>
      </w:r>
      <w:r w:rsidR="00D757A4">
        <w:t xml:space="preserve">areas such as </w:t>
      </w:r>
      <w:r>
        <w:t xml:space="preserve">the choice of charges, the elements of offences, any substantive impediments to proving the offence and how these might be addressed, identifying particular witnesses who could be </w:t>
      </w:r>
      <w:r w:rsidR="00FB41A9">
        <w:t>approached</w:t>
      </w:r>
      <w:r>
        <w:t xml:space="preserve"> and lines of enquiry that might assist, </w:t>
      </w:r>
      <w:r w:rsidR="00D51A5C">
        <w:t xml:space="preserve">options for scoping the investigation, </w:t>
      </w:r>
      <w:r>
        <w:t xml:space="preserve">the seriousness of the offending and </w:t>
      </w:r>
      <w:r w:rsidR="002F6F80">
        <w:t xml:space="preserve">any </w:t>
      </w:r>
      <w:r>
        <w:t>likely public interest considerations</w:t>
      </w:r>
      <w:r w:rsidR="00707C17">
        <w:rPr>
          <w:rStyle w:val="FootnoteReference"/>
        </w:rPr>
        <w:footnoteReference w:id="5"/>
      </w:r>
      <w:r>
        <w:t>.</w:t>
      </w:r>
    </w:p>
    <w:p w14:paraId="1DD6A3E4" w14:textId="77777777" w:rsidR="00DC0E31" w:rsidRPr="00DB6586" w:rsidRDefault="007B3742" w:rsidP="00824FE5">
      <w:pPr>
        <w:pStyle w:val="Heading3"/>
        <w:tabs>
          <w:tab w:val="left" w:pos="720"/>
        </w:tabs>
        <w:ind w:left="567" w:hanging="567"/>
      </w:pPr>
      <w:bookmarkStart w:id="16" w:name="_Toc61339342"/>
      <w:r>
        <w:t xml:space="preserve">Electronic </w:t>
      </w:r>
      <w:r w:rsidR="00EE0B4C">
        <w:t>B</w:t>
      </w:r>
      <w:r w:rsidR="00DC0E31" w:rsidRPr="00DB6586">
        <w:t>riefs</w:t>
      </w:r>
      <w:r>
        <w:t xml:space="preserve"> and Referrals Gateway</w:t>
      </w:r>
      <w:bookmarkEnd w:id="16"/>
    </w:p>
    <w:p w14:paraId="4E5A1AEC" w14:textId="38E26B34" w:rsidR="00DC0E31" w:rsidRDefault="00DC0E31" w:rsidP="00824FE5">
      <w:pPr>
        <w:pStyle w:val="NumberedList1"/>
        <w:numPr>
          <w:ilvl w:val="0"/>
          <w:numId w:val="12"/>
        </w:numPr>
        <w:tabs>
          <w:tab w:val="left" w:pos="720"/>
        </w:tabs>
        <w:spacing w:line="276" w:lineRule="auto"/>
        <w:ind w:left="567" w:hanging="567"/>
        <w:jc w:val="both"/>
      </w:pPr>
      <w:r>
        <w:t xml:space="preserve">The CDPP is committed to using technology and digital tools to ensure efficiency and effectiveness in the conduct of </w:t>
      </w:r>
      <w:r w:rsidR="007B3742">
        <w:t xml:space="preserve">its </w:t>
      </w:r>
      <w:r>
        <w:t xml:space="preserve">prosecutions.  The CDPP </w:t>
      </w:r>
      <w:r w:rsidR="00D10AB3">
        <w:t xml:space="preserve">will </w:t>
      </w:r>
      <w:r w:rsidR="007B3742">
        <w:t>continu</w:t>
      </w:r>
      <w:r w:rsidR="00D10AB3">
        <w:t xml:space="preserve">e </w:t>
      </w:r>
      <w:r w:rsidR="007B3742">
        <w:t xml:space="preserve">to </w:t>
      </w:r>
      <w:r>
        <w:t xml:space="preserve">work with partner agencies to transition away from paper briefs to electronic briefs.  The CDPP’s digital capability team is available to assist agencies with their transition to e-briefs, and to ensure </w:t>
      </w:r>
      <w:r w:rsidR="00D10AB3">
        <w:t xml:space="preserve">briefs are </w:t>
      </w:r>
      <w:r>
        <w:t>complian</w:t>
      </w:r>
      <w:r w:rsidR="00D10AB3">
        <w:t>t</w:t>
      </w:r>
      <w:r>
        <w:t xml:space="preserve"> with the CDPP’s </w:t>
      </w:r>
      <w:r w:rsidR="007B3742">
        <w:t>“</w:t>
      </w:r>
      <w:r>
        <w:t>E-brief Referral Guidelines</w:t>
      </w:r>
      <w:r w:rsidR="007B3742">
        <w:t>”</w:t>
      </w:r>
      <w:r>
        <w:t xml:space="preserve">.  The CDPP also provides an electronic Referrals Gateway to enable the electronic submission of briefs.  </w:t>
      </w:r>
    </w:p>
    <w:p w14:paraId="6D3A1554" w14:textId="77777777" w:rsidR="005B20BC" w:rsidRDefault="005B20BC" w:rsidP="00824FE5">
      <w:pPr>
        <w:pStyle w:val="Heading3"/>
        <w:tabs>
          <w:tab w:val="left" w:pos="720"/>
        </w:tabs>
        <w:ind w:left="567" w:hanging="567"/>
      </w:pPr>
      <w:bookmarkStart w:id="17" w:name="_Toc61339343"/>
      <w:bookmarkEnd w:id="15"/>
      <w:r w:rsidRPr="005B20BC">
        <w:t>Brief Assessment Phase</w:t>
      </w:r>
      <w:bookmarkEnd w:id="17"/>
    </w:p>
    <w:p w14:paraId="68512E0D" w14:textId="60E678D6" w:rsidR="005B20BC" w:rsidRDefault="005B20BC">
      <w:pPr>
        <w:pStyle w:val="NumberedList1"/>
        <w:numPr>
          <w:ilvl w:val="0"/>
          <w:numId w:val="12"/>
        </w:numPr>
        <w:tabs>
          <w:tab w:val="left" w:pos="720"/>
        </w:tabs>
        <w:spacing w:line="276" w:lineRule="auto"/>
        <w:ind w:left="567" w:hanging="567"/>
        <w:jc w:val="both"/>
      </w:pPr>
      <w:r>
        <w:t>Many federal prosecutions are commenced following an assessment of a brief of evidence by the CDPP and the issuing of a summons/charge/</w:t>
      </w:r>
      <w:r w:rsidR="00FB41A9">
        <w:t>court attendance notice</w:t>
      </w:r>
      <w:r>
        <w:t xml:space="preserve">.  During the brief assessment phase, there will be contact between the case officer who is assessing the matter and the informant.  There are often queries relating to the </w:t>
      </w:r>
      <w:proofErr w:type="gramStart"/>
      <w:r>
        <w:t>evidence, or</w:t>
      </w:r>
      <w:proofErr w:type="gramEnd"/>
      <w:r>
        <w:t xml:space="preserve"> </w:t>
      </w:r>
      <w:r w:rsidR="00D757A4">
        <w:t xml:space="preserve">pertaining to </w:t>
      </w:r>
      <w:r>
        <w:t>the need for additional investigations to fill gaps in the evidence.  The more complex the matter</w:t>
      </w:r>
      <w:r w:rsidR="002F6F80">
        <w:t xml:space="preserve">, </w:t>
      </w:r>
      <w:r>
        <w:t>the more likely that there will be frequent contact.  “In person” meetings with the informant during this phase are typical, particularly in the more complex matters.  Ultimately</w:t>
      </w:r>
      <w:r w:rsidR="002F6F80">
        <w:t xml:space="preserve"> advice will be </w:t>
      </w:r>
      <w:r>
        <w:t>provided</w:t>
      </w:r>
      <w:r w:rsidR="009732A5">
        <w:t>, in accordance with the P</w:t>
      </w:r>
      <w:r w:rsidR="004F4711">
        <w:t>rosecution Policy</w:t>
      </w:r>
      <w:r w:rsidR="009732A5">
        <w:t>,</w:t>
      </w:r>
      <w:r>
        <w:t xml:space="preserve"> as to whether a prosecution </w:t>
      </w:r>
      <w:r w:rsidR="009732A5">
        <w:t xml:space="preserve">can </w:t>
      </w:r>
      <w:r>
        <w:t>be commenced.</w:t>
      </w:r>
    </w:p>
    <w:p w14:paraId="0D60905A" w14:textId="77777777" w:rsidR="00042B4E" w:rsidRDefault="00594E2A">
      <w:pPr>
        <w:pStyle w:val="NumberedList1"/>
        <w:numPr>
          <w:ilvl w:val="0"/>
          <w:numId w:val="12"/>
        </w:numPr>
        <w:tabs>
          <w:tab w:val="left" w:pos="720"/>
        </w:tabs>
        <w:spacing w:line="276" w:lineRule="auto"/>
        <w:ind w:left="567" w:hanging="567"/>
        <w:jc w:val="both"/>
      </w:pPr>
      <w:r>
        <w:t>B</w:t>
      </w:r>
      <w:r w:rsidR="00042B4E">
        <w:t xml:space="preserve">rief assessment is </w:t>
      </w:r>
      <w:r>
        <w:t xml:space="preserve">considered </w:t>
      </w:r>
      <w:r w:rsidR="00042B4E">
        <w:t xml:space="preserve">a critical part of </w:t>
      </w:r>
      <w:r>
        <w:t xml:space="preserve">the prosecution service provided to </w:t>
      </w:r>
      <w:r w:rsidR="00042B4E">
        <w:t>partner agenc</w:t>
      </w:r>
      <w:r>
        <w:t>ies</w:t>
      </w:r>
      <w:r w:rsidR="00042B4E">
        <w:t>.  The investigator / case officer relationship is fundamental</w:t>
      </w:r>
      <w:r>
        <w:t>ly important</w:t>
      </w:r>
      <w:r w:rsidR="00042B4E">
        <w:t>.  Each brief assessment is an opportunity to provide constructive feedback</w:t>
      </w:r>
      <w:r w:rsidR="00FB41A9">
        <w:t xml:space="preserve"> as to the strengths and deficiencies</w:t>
      </w:r>
      <w:r w:rsidR="00FD3982">
        <w:t xml:space="preserve"> of the brief</w:t>
      </w:r>
      <w:r w:rsidR="00042B4E">
        <w:t>, either directly to the investigator or through more formal liaison processes.</w:t>
      </w:r>
    </w:p>
    <w:p w14:paraId="4C8E8830" w14:textId="77777777" w:rsidR="00DC0E31" w:rsidRDefault="00DC0E31">
      <w:pPr>
        <w:pStyle w:val="NumberedList1"/>
        <w:numPr>
          <w:ilvl w:val="0"/>
          <w:numId w:val="12"/>
        </w:numPr>
        <w:tabs>
          <w:tab w:val="left" w:pos="720"/>
        </w:tabs>
        <w:spacing w:line="276" w:lineRule="auto"/>
        <w:ind w:left="567" w:hanging="567"/>
        <w:jc w:val="both"/>
      </w:pPr>
      <w:r>
        <w:rPr>
          <w:rFonts w:asciiTheme="majorHAnsi" w:hAnsiTheme="majorHAnsi"/>
        </w:rPr>
        <w:t xml:space="preserve">The CDPP is committed to ensuring </w:t>
      </w:r>
      <w:r w:rsidRPr="00F400BF">
        <w:rPr>
          <w:rFonts w:asciiTheme="majorHAnsi" w:hAnsiTheme="majorHAnsi"/>
        </w:rPr>
        <w:t>that all</w:t>
      </w:r>
      <w:r>
        <w:rPr>
          <w:rFonts w:asciiTheme="majorHAnsi" w:hAnsiTheme="majorHAnsi"/>
        </w:rPr>
        <w:t xml:space="preserve"> matters referred by the agency are dealt with in a timely manner.  Upon receiving a complete brief of evidence, the CDPP aims to </w:t>
      </w:r>
      <w:proofErr w:type="gramStart"/>
      <w:r>
        <w:rPr>
          <w:rFonts w:asciiTheme="majorHAnsi" w:hAnsiTheme="majorHAnsi"/>
        </w:rPr>
        <w:t>make a decision</w:t>
      </w:r>
      <w:proofErr w:type="gramEnd"/>
      <w:r>
        <w:rPr>
          <w:rFonts w:asciiTheme="majorHAnsi" w:hAnsiTheme="majorHAnsi"/>
        </w:rPr>
        <w:t xml:space="preserve"> on whether </w:t>
      </w:r>
      <w:r>
        <w:rPr>
          <w:rFonts w:asciiTheme="majorHAnsi" w:hAnsiTheme="majorHAnsi"/>
        </w:rPr>
        <w:lastRenderedPageBreak/>
        <w:t>there is sufficient evidence to commence the prosecution within internal timeliness targets which are reviewed from time to time.  Investigating agencies should refer to the CDPP website for time frames which apply to brief assessments.</w:t>
      </w:r>
    </w:p>
    <w:p w14:paraId="130B7BD2" w14:textId="77777777" w:rsidR="005B20BC" w:rsidRDefault="005B20BC" w:rsidP="008B4DA3">
      <w:pPr>
        <w:pStyle w:val="Heading3"/>
      </w:pPr>
      <w:bookmarkStart w:id="18" w:name="_Toc61339344"/>
      <w:r w:rsidRPr="005B20BC">
        <w:t xml:space="preserve">Court Phase (summary prosecutions, </w:t>
      </w:r>
      <w:r w:rsidR="00FB41A9">
        <w:t xml:space="preserve">bail, </w:t>
      </w:r>
      <w:r w:rsidRPr="005B20BC">
        <w:t>committals, trials and appeals)</w:t>
      </w:r>
      <w:bookmarkEnd w:id="18"/>
    </w:p>
    <w:p w14:paraId="3A99EDB9" w14:textId="77777777" w:rsidR="005B20BC" w:rsidRDefault="00594E2A" w:rsidP="000A3BA5">
      <w:pPr>
        <w:pStyle w:val="NumberedList1"/>
        <w:numPr>
          <w:ilvl w:val="0"/>
          <w:numId w:val="12"/>
        </w:numPr>
        <w:spacing w:line="276" w:lineRule="auto"/>
        <w:ind w:left="567" w:hanging="567"/>
        <w:jc w:val="both"/>
      </w:pPr>
      <w:r>
        <w:t>E</w:t>
      </w:r>
      <w:r w:rsidR="005B20BC">
        <w:t xml:space="preserve">ngagement </w:t>
      </w:r>
      <w:r>
        <w:t xml:space="preserve">between the CDPP and agencies </w:t>
      </w:r>
      <w:r w:rsidR="005B20BC">
        <w:t xml:space="preserve">during the court phase will usually ebb and flow based on what is occurring in the litigation itself and the complexity of the matter. </w:t>
      </w:r>
      <w:proofErr w:type="gramStart"/>
      <w:r w:rsidR="005B20BC">
        <w:t>Typically</w:t>
      </w:r>
      <w:proofErr w:type="gramEnd"/>
      <w:r w:rsidR="005B20BC">
        <w:t xml:space="preserve"> however, the CDPP would:</w:t>
      </w:r>
    </w:p>
    <w:p w14:paraId="3E41A228" w14:textId="77777777" w:rsidR="005B20BC" w:rsidRDefault="005B20BC" w:rsidP="00C34793">
      <w:pPr>
        <w:pStyle w:val="Bullet2"/>
        <w:numPr>
          <w:ilvl w:val="1"/>
          <w:numId w:val="22"/>
        </w:numPr>
        <w:ind w:left="993"/>
      </w:pPr>
      <w:r>
        <w:t>Provid</w:t>
      </w:r>
      <w:r w:rsidR="00594E2A">
        <w:t>e</w:t>
      </w:r>
      <w:r>
        <w:t xml:space="preserve"> regular and timely updates to the informant on the progress of the matter</w:t>
      </w:r>
      <w:r w:rsidR="002F6F80">
        <w:t>;</w:t>
      </w:r>
    </w:p>
    <w:p w14:paraId="76F6AB19" w14:textId="77777777" w:rsidR="005B20BC" w:rsidRDefault="00FB41A9" w:rsidP="009D42DC">
      <w:pPr>
        <w:pStyle w:val="Bullet2"/>
        <w:numPr>
          <w:ilvl w:val="1"/>
          <w:numId w:val="22"/>
        </w:numPr>
      </w:pPr>
      <w:r>
        <w:t>Make</w:t>
      </w:r>
      <w:r w:rsidR="005B20BC">
        <w:t xml:space="preserve"> requisitions of the informant, explaining the basis of those further enquiries</w:t>
      </w:r>
      <w:r w:rsidR="002F6F80">
        <w:t>;</w:t>
      </w:r>
    </w:p>
    <w:p w14:paraId="700EE4BA" w14:textId="77777777" w:rsidR="005B20BC" w:rsidRDefault="005B20BC" w:rsidP="009D42DC">
      <w:pPr>
        <w:pStyle w:val="Bullet2"/>
        <w:numPr>
          <w:ilvl w:val="1"/>
          <w:numId w:val="22"/>
        </w:numPr>
      </w:pPr>
      <w:r>
        <w:t>Consult with the informant on all critical decisions throughout the court process (e</w:t>
      </w:r>
      <w:r w:rsidR="0051324F">
        <w:t>.</w:t>
      </w:r>
      <w:r>
        <w:t>g</w:t>
      </w:r>
      <w:r w:rsidR="0051324F">
        <w:t>.</w:t>
      </w:r>
      <w:r>
        <w:t xml:space="preserve"> </w:t>
      </w:r>
      <w:r w:rsidR="00FB41A9">
        <w:t xml:space="preserve">bail, </w:t>
      </w:r>
      <w:r>
        <w:t xml:space="preserve">a change of charges, </w:t>
      </w:r>
      <w:r w:rsidR="00FB41A9">
        <w:t xml:space="preserve">dealing with reluctant witnesses, the calling of expert witnesses, </w:t>
      </w:r>
      <w:r>
        <w:t xml:space="preserve">plea offers, </w:t>
      </w:r>
      <w:r w:rsidR="00FB41A9">
        <w:t xml:space="preserve">submissions on sentence, appeals, </w:t>
      </w:r>
      <w:r>
        <w:t>proposed discontinuance</w:t>
      </w:r>
      <w:r w:rsidR="00FB41A9">
        <w:t>s</w:t>
      </w:r>
      <w:r>
        <w:t>)</w:t>
      </w:r>
      <w:r w:rsidR="002F6F80">
        <w:t>;</w:t>
      </w:r>
    </w:p>
    <w:p w14:paraId="06699D26" w14:textId="77777777" w:rsidR="005B20BC" w:rsidRDefault="005B20BC" w:rsidP="009D42DC">
      <w:pPr>
        <w:pStyle w:val="Bullet2"/>
        <w:numPr>
          <w:ilvl w:val="1"/>
          <w:numId w:val="22"/>
        </w:numPr>
      </w:pPr>
      <w:r>
        <w:t>Answer queries that the informant might have about the case</w:t>
      </w:r>
      <w:r w:rsidR="00042B4E">
        <w:t>; and</w:t>
      </w:r>
    </w:p>
    <w:p w14:paraId="1CBE6BBC" w14:textId="74D47CBF" w:rsidR="00042B4E" w:rsidRDefault="00042B4E" w:rsidP="009D42DC">
      <w:pPr>
        <w:pStyle w:val="Bullet2"/>
        <w:numPr>
          <w:ilvl w:val="1"/>
          <w:numId w:val="22"/>
        </w:numPr>
      </w:pPr>
      <w:r>
        <w:t>Deal with victims</w:t>
      </w:r>
      <w:r w:rsidR="00C60275">
        <w:t>, in conjunction with the informant,</w:t>
      </w:r>
      <w:r>
        <w:t xml:space="preserve"> in accordance with the CDPP Victims of Crime Policy.</w:t>
      </w:r>
    </w:p>
    <w:p w14:paraId="16C29F27" w14:textId="42F6F831" w:rsidR="00932924" w:rsidRDefault="00932924" w:rsidP="00824FE5">
      <w:pPr>
        <w:pStyle w:val="Bullet2"/>
        <w:ind w:left="710"/>
      </w:pPr>
      <w:r>
        <w:t>For practical information about how to manage daily interactions with investigators</w:t>
      </w:r>
      <w:r w:rsidR="00866E78">
        <w:t xml:space="preserve"> on case related matters,</w:t>
      </w:r>
      <w:r>
        <w:t xml:space="preserve"> prosecutors should consult the </w:t>
      </w:r>
      <w:hyperlink r:id="rId12" w:history="1">
        <w:r w:rsidRPr="00824FE5">
          <w:rPr>
            <w:rStyle w:val="Hyperlink"/>
            <w:rFonts w:ascii="Calibri" w:hAnsi="Calibri" w:cstheme="minorBidi"/>
          </w:rPr>
          <w:t>Practical Guide</w:t>
        </w:r>
      </w:hyperlink>
      <w:r>
        <w:t xml:space="preserve"> </w:t>
      </w:r>
      <w:r w:rsidR="00866E78">
        <w:t>that has been prepared on this topic.</w:t>
      </w:r>
      <w:r>
        <w:t xml:space="preserve"> </w:t>
      </w:r>
    </w:p>
    <w:p w14:paraId="5037D639" w14:textId="77777777" w:rsidR="005B20BC" w:rsidRPr="005B20BC" w:rsidRDefault="002F6F80" w:rsidP="008B4DA3">
      <w:pPr>
        <w:pStyle w:val="Heading3"/>
      </w:pPr>
      <w:bookmarkStart w:id="19" w:name="_Toc61339345"/>
      <w:r>
        <w:t>Finalisation</w:t>
      </w:r>
      <w:bookmarkEnd w:id="19"/>
      <w:r>
        <w:t xml:space="preserve"> </w:t>
      </w:r>
    </w:p>
    <w:p w14:paraId="09223B20" w14:textId="0F7DFB4C" w:rsidR="009732A5" w:rsidRPr="009732A5" w:rsidRDefault="00C157B6" w:rsidP="000A3BA5">
      <w:pPr>
        <w:pStyle w:val="NumberedList1"/>
        <w:numPr>
          <w:ilvl w:val="0"/>
          <w:numId w:val="12"/>
        </w:numPr>
        <w:spacing w:line="276" w:lineRule="auto"/>
        <w:ind w:left="567" w:hanging="567"/>
        <w:jc w:val="both"/>
        <w:rPr>
          <w:b/>
        </w:rPr>
      </w:pPr>
      <w:r>
        <w:t xml:space="preserve">A </w:t>
      </w:r>
      <w:r w:rsidR="00771042">
        <w:t xml:space="preserve">prosecution report is provided in all </w:t>
      </w:r>
      <w:r w:rsidR="0095030D">
        <w:t>cases</w:t>
      </w:r>
      <w:r w:rsidR="00771042">
        <w:t xml:space="preserve"> that proceed to court.  A </w:t>
      </w:r>
      <w:r>
        <w:t>post-</w:t>
      </w:r>
      <w:r w:rsidR="00042B4E">
        <w:t>trial re</w:t>
      </w:r>
      <w:r w:rsidR="00A972CF">
        <w:t>port</w:t>
      </w:r>
      <w:r w:rsidR="00042B4E">
        <w:t xml:space="preserve"> </w:t>
      </w:r>
      <w:r w:rsidR="00A972CF">
        <w:t xml:space="preserve">is prepared </w:t>
      </w:r>
      <w:r w:rsidR="00042B4E">
        <w:t>follow</w:t>
      </w:r>
      <w:r w:rsidR="00A972CF">
        <w:t>ing</w:t>
      </w:r>
      <w:r w:rsidR="00042B4E">
        <w:t xml:space="preserve"> all trials</w:t>
      </w:r>
      <w:r>
        <w:t xml:space="preserve"> in </w:t>
      </w:r>
      <w:r w:rsidR="00203164">
        <w:t xml:space="preserve">intermediate and </w:t>
      </w:r>
      <w:r>
        <w:t>superior courts</w:t>
      </w:r>
      <w:r w:rsidR="00FD0D5D">
        <w:t xml:space="preserve"> </w:t>
      </w:r>
      <w:proofErr w:type="gramStart"/>
      <w:r w:rsidR="00FD0D5D">
        <w:t>and also</w:t>
      </w:r>
      <w:proofErr w:type="gramEnd"/>
      <w:r w:rsidR="00FD0D5D">
        <w:t xml:space="preserve"> following complex summary hearings</w:t>
      </w:r>
      <w:r>
        <w:t>.</w:t>
      </w:r>
      <w:r w:rsidR="005B20BC">
        <w:t xml:space="preserve"> </w:t>
      </w:r>
      <w:r w:rsidR="00A972CF">
        <w:t xml:space="preserve"> This takes the form of a written report which is forwarded to the agency.</w:t>
      </w:r>
      <w:r w:rsidR="005B20BC">
        <w:t xml:space="preserve"> </w:t>
      </w:r>
      <w:r w:rsidR="00A972CF">
        <w:t xml:space="preserve"> </w:t>
      </w:r>
      <w:r w:rsidR="00832F32">
        <w:t xml:space="preserve">As well as providing some quantitative data about the trial itself, the post-trial report also provides qualitative data about the legal and evidentiary issues that arose in the case and provides insight into the efficiency and effectiveness of each agency’s performance. </w:t>
      </w:r>
      <w:r w:rsidR="005B20BC">
        <w:t>The CDPP sees real benefits in re</w:t>
      </w:r>
      <w:r w:rsidR="00832F32">
        <w:t>porting on</w:t>
      </w:r>
      <w:r w:rsidR="005B20BC">
        <w:t xml:space="preserve"> the issues that have arisen </w:t>
      </w:r>
      <w:proofErr w:type="gramStart"/>
      <w:r w:rsidR="005B20BC">
        <w:t>during the course of</w:t>
      </w:r>
      <w:proofErr w:type="gramEnd"/>
      <w:r w:rsidR="005B20BC">
        <w:t xml:space="preserve"> the litigation</w:t>
      </w:r>
      <w:r w:rsidR="0039111D">
        <w:t>, by way of a post-trial report,</w:t>
      </w:r>
      <w:r w:rsidR="005B20BC">
        <w:t xml:space="preserve"> and in </w:t>
      </w:r>
      <w:r w:rsidR="002F6F80">
        <w:t xml:space="preserve">recognising </w:t>
      </w:r>
      <w:r w:rsidR="005B20BC">
        <w:t>achievements as well as area</w:t>
      </w:r>
      <w:r w:rsidR="002F6F80">
        <w:t>s</w:t>
      </w:r>
      <w:r w:rsidR="005B20BC">
        <w:t xml:space="preserve"> for improvement</w:t>
      </w:r>
      <w:r w:rsidR="00D757A4">
        <w:t xml:space="preserve"> by both agencies</w:t>
      </w:r>
      <w:r w:rsidR="005B20BC">
        <w:t xml:space="preserve">.  </w:t>
      </w:r>
      <w:r w:rsidR="00CE5AB2">
        <w:t>These reports</w:t>
      </w:r>
      <w:r w:rsidR="005B20BC">
        <w:t xml:space="preserve"> can identify systemic issues, and lead to positive changes in processes</w:t>
      </w:r>
      <w:r w:rsidR="00042B4E">
        <w:t xml:space="preserve"> and future referrals</w:t>
      </w:r>
      <w:r w:rsidR="005B20BC">
        <w:t>.</w:t>
      </w:r>
      <w:r>
        <w:t xml:space="preserve"> </w:t>
      </w:r>
      <w:r w:rsidR="00CE5AB2">
        <w:t xml:space="preserve"> </w:t>
      </w:r>
      <w:r w:rsidR="00A972CF">
        <w:t xml:space="preserve">In addition, the CDPP is available to conduct full case reviews in appropriate matters at the conclusion of a prosecution.  This may occur in relation to a significant case or it might relate to a series of cases which formed the basis of a significant project/operation for an agency.  Case reviews occur in person, with relevant members of the agency and CDPP participating. </w:t>
      </w:r>
    </w:p>
    <w:p w14:paraId="0142FC1E" w14:textId="77777777" w:rsidR="005B20BC" w:rsidRPr="009732A5" w:rsidRDefault="005B20BC" w:rsidP="008B4DA3">
      <w:pPr>
        <w:pStyle w:val="Heading3"/>
      </w:pPr>
      <w:bookmarkStart w:id="20" w:name="_Toc61339346"/>
      <w:r w:rsidRPr="009732A5">
        <w:t>Training and Information Sessions</w:t>
      </w:r>
      <w:bookmarkEnd w:id="20"/>
    </w:p>
    <w:p w14:paraId="01CEB4F0" w14:textId="77777777" w:rsidR="005B20BC" w:rsidRDefault="00CE5AB2" w:rsidP="000A3BA5">
      <w:pPr>
        <w:pStyle w:val="NumberedList1"/>
        <w:numPr>
          <w:ilvl w:val="0"/>
          <w:numId w:val="12"/>
        </w:numPr>
        <w:spacing w:line="276" w:lineRule="auto"/>
        <w:ind w:left="567" w:hanging="567"/>
        <w:jc w:val="both"/>
      </w:pPr>
      <w:r>
        <w:t>Whilst investigative agencies have the primary responsibility for training their investigators, t</w:t>
      </w:r>
      <w:r w:rsidR="00594E2A">
        <w:t xml:space="preserve">he CDPP recognises the </w:t>
      </w:r>
      <w:r>
        <w:t xml:space="preserve">important complimentary </w:t>
      </w:r>
      <w:r w:rsidR="00594E2A">
        <w:t xml:space="preserve">role it can play in providing </w:t>
      </w:r>
      <w:r>
        <w:t xml:space="preserve">information and </w:t>
      </w:r>
      <w:r w:rsidR="00594E2A">
        <w:t xml:space="preserve">training to investigators.  Consequently, </w:t>
      </w:r>
      <w:r>
        <w:t xml:space="preserve">where appropriate, </w:t>
      </w:r>
      <w:r w:rsidR="00594E2A">
        <w:t>t</w:t>
      </w:r>
      <w:r w:rsidR="005B20BC">
        <w:t xml:space="preserve">he CDPP </w:t>
      </w:r>
      <w:r>
        <w:t xml:space="preserve">can </w:t>
      </w:r>
      <w:r w:rsidR="005B20BC">
        <w:t xml:space="preserve">provide training and information sessions to </w:t>
      </w:r>
      <w:r w:rsidR="00C157B6">
        <w:t>partner</w:t>
      </w:r>
      <w:r w:rsidR="005B20BC">
        <w:t xml:space="preserve"> agencies</w:t>
      </w:r>
      <w:r>
        <w:t xml:space="preserve"> </w:t>
      </w:r>
      <w:r w:rsidR="005B20BC">
        <w:t xml:space="preserve">on relevant topics in order to </w:t>
      </w:r>
      <w:r w:rsidR="002F6F80">
        <w:t xml:space="preserve">upskill </w:t>
      </w:r>
      <w:r w:rsidR="005B20BC">
        <w:t>investigators in relevant areas</w:t>
      </w:r>
      <w:r w:rsidR="009732A5">
        <w:t xml:space="preserve"> and to outline the role of the CDPP in the prosecution process</w:t>
      </w:r>
      <w:r w:rsidR="005B20BC">
        <w:t xml:space="preserve">.  The provision of training should ultimately translate into better quality investigations and briefs of evidence, successful prosecution outcomes and a saving of time and resources for all.  CDPP presenters have the benefit of many years of coal face experience in criminal litigation, enabling presenters to </w:t>
      </w:r>
      <w:r w:rsidR="00594E2A">
        <w:t>be both knowledgeable and practical in their approach</w:t>
      </w:r>
      <w:r w:rsidR="005B20BC">
        <w:t xml:space="preserve">.  The CDPP is keen to understand the inner workings of investigative agencies and their </w:t>
      </w:r>
      <w:proofErr w:type="gramStart"/>
      <w:r w:rsidR="005B20BC">
        <w:t>particular investigative</w:t>
      </w:r>
      <w:proofErr w:type="gramEnd"/>
      <w:r w:rsidR="005B20BC">
        <w:t xml:space="preserve"> strategies and objectives.  Consequently, the CDPP </w:t>
      </w:r>
      <w:r w:rsidR="002F6F80">
        <w:t xml:space="preserve">also </w:t>
      </w:r>
      <w:r w:rsidR="005B20BC">
        <w:t xml:space="preserve">welcomes the opportunity for agencies to present </w:t>
      </w:r>
      <w:r w:rsidR="00D757A4">
        <w:t xml:space="preserve">sessions </w:t>
      </w:r>
      <w:r w:rsidR="005B20BC">
        <w:t xml:space="preserve">to CDPP staff on relevant topics. </w:t>
      </w:r>
    </w:p>
    <w:p w14:paraId="72000AD7" w14:textId="77777777" w:rsidR="005B20BC" w:rsidRPr="005B20BC" w:rsidRDefault="005B20BC" w:rsidP="008B4DA3">
      <w:pPr>
        <w:pStyle w:val="Heading3"/>
      </w:pPr>
      <w:bookmarkStart w:id="21" w:name="_Toc61339347"/>
      <w:r w:rsidRPr="005B20BC">
        <w:lastRenderedPageBreak/>
        <w:t>Secondments</w:t>
      </w:r>
      <w:r w:rsidR="004C6049">
        <w:t xml:space="preserve"> / Co-location</w:t>
      </w:r>
      <w:bookmarkEnd w:id="21"/>
    </w:p>
    <w:p w14:paraId="06ACD387" w14:textId="24DAEE3C" w:rsidR="005B20BC" w:rsidRDefault="005B20BC" w:rsidP="000A3BA5">
      <w:pPr>
        <w:pStyle w:val="NumberedList1"/>
        <w:numPr>
          <w:ilvl w:val="0"/>
          <w:numId w:val="12"/>
        </w:numPr>
        <w:spacing w:line="276" w:lineRule="auto"/>
        <w:ind w:left="567" w:hanging="567"/>
        <w:jc w:val="both"/>
      </w:pPr>
      <w:r>
        <w:t xml:space="preserve">The CDPP’s expertise can sometimes be best utilised by seconding </w:t>
      </w:r>
      <w:r w:rsidR="004C6049">
        <w:t xml:space="preserve">or co-locating </w:t>
      </w:r>
      <w:r>
        <w:t xml:space="preserve">CDPP staff to the offices of investigative agencies.  </w:t>
      </w:r>
      <w:r w:rsidR="00C056E0">
        <w:t xml:space="preserve">Whilst such arrangements are not routine, they do </w:t>
      </w:r>
      <w:r>
        <w:t>provide a valuable opportunity for the unique expertise of CDPP lawyers to be available to an agency</w:t>
      </w:r>
      <w:r w:rsidR="002F6F80">
        <w:t xml:space="preserve"> </w:t>
      </w:r>
      <w:r w:rsidR="000528CD">
        <w:t xml:space="preserve">where the work of that agency is </w:t>
      </w:r>
      <w:r w:rsidR="00E263CE">
        <w:t xml:space="preserve">the sole or </w:t>
      </w:r>
      <w:r w:rsidR="00C157B6">
        <w:t>a substantial</w:t>
      </w:r>
      <w:r w:rsidR="000528CD">
        <w:t xml:space="preserve"> focus of the lawyer</w:t>
      </w:r>
      <w:r>
        <w:t xml:space="preserve">.  They also enable the CDPP to better understand the enforcement objectives of the agency and the environment in which </w:t>
      </w:r>
      <w:r w:rsidR="00604513">
        <w:t>the agency</w:t>
      </w:r>
      <w:r>
        <w:t xml:space="preserve"> works</w:t>
      </w:r>
      <w:r w:rsidR="00E263CE">
        <w:t xml:space="preserve"> as well as providing </w:t>
      </w:r>
      <w:r>
        <w:t xml:space="preserve">a unique perspective </w:t>
      </w:r>
      <w:r w:rsidR="000528CD">
        <w:t>of the agency’s business which can then be communicated to the broader CDPP</w:t>
      </w:r>
      <w:r>
        <w:t xml:space="preserve">.  Secondments </w:t>
      </w:r>
      <w:r w:rsidR="00E263CE">
        <w:t xml:space="preserve">/ co-location of staff </w:t>
      </w:r>
      <w:r>
        <w:t>would usually be based on a specific identified need/objective related to the prosecution process</w:t>
      </w:r>
      <w:r w:rsidR="00E263CE">
        <w:t xml:space="preserve"> or to a particular </w:t>
      </w:r>
      <w:proofErr w:type="gramStart"/>
      <w:r w:rsidR="00E263CE">
        <w:t>case</w:t>
      </w:r>
      <w:r w:rsidR="002E2843">
        <w:t>, and</w:t>
      </w:r>
      <w:proofErr w:type="gramEnd"/>
      <w:r w:rsidR="002E2843">
        <w:t xml:space="preserve"> are subject to the operational requirements of the CDPP</w:t>
      </w:r>
      <w:r>
        <w:t xml:space="preserve">.  </w:t>
      </w:r>
      <w:r w:rsidR="009732A5">
        <w:t>Such placements</w:t>
      </w:r>
      <w:r>
        <w:t xml:space="preserve"> might be appropriate to </w:t>
      </w:r>
      <w:proofErr w:type="gramStart"/>
      <w:r>
        <w:t>particular agencies</w:t>
      </w:r>
      <w:proofErr w:type="gramEnd"/>
      <w:r>
        <w:t xml:space="preserve"> for very different reasons, depending on the identified need.  The term of any secondment </w:t>
      </w:r>
      <w:r w:rsidR="00E263CE">
        <w:t>or co-location w</w:t>
      </w:r>
      <w:r w:rsidR="00594E2A">
        <w:t>ould</w:t>
      </w:r>
      <w:r w:rsidR="00E263CE">
        <w:t xml:space="preserve"> be</w:t>
      </w:r>
      <w:r>
        <w:t xml:space="preserve"> dependent on the objective of the secondment.</w:t>
      </w:r>
      <w:r w:rsidR="00E263CE">
        <w:t xml:space="preserve"> </w:t>
      </w:r>
      <w:r>
        <w:t xml:space="preserve"> </w:t>
      </w:r>
      <w:r w:rsidR="00604513">
        <w:t xml:space="preserve">In appropriate situations, secondments from an agency to the CDPP may </w:t>
      </w:r>
      <w:r w:rsidR="0095030D">
        <w:t>also occur</w:t>
      </w:r>
      <w:r w:rsidR="00604513">
        <w:t>.</w:t>
      </w:r>
      <w:r w:rsidR="00EC4573">
        <w:t xml:space="preserve">  </w:t>
      </w:r>
      <w:r w:rsidR="00C056E0">
        <w:t>Appropriate governance frameworks would need to be considered to manage risk and to confirm the respective role of the seconded staff member.</w:t>
      </w:r>
    </w:p>
    <w:p w14:paraId="2F3B9F1C" w14:textId="77777777" w:rsidR="007B3742" w:rsidRPr="00DB6586" w:rsidRDefault="007B3742" w:rsidP="00824FE5">
      <w:pPr>
        <w:pStyle w:val="Heading3"/>
      </w:pPr>
      <w:bookmarkStart w:id="22" w:name="_Toc61339348"/>
      <w:r w:rsidRPr="00DB6586">
        <w:t>Partner Agency Portal</w:t>
      </w:r>
      <w:bookmarkEnd w:id="22"/>
    </w:p>
    <w:p w14:paraId="3370154E" w14:textId="6BB39B90" w:rsidR="007B3742" w:rsidRDefault="007B3742" w:rsidP="009F687C">
      <w:pPr>
        <w:pStyle w:val="NLDbody"/>
      </w:pPr>
      <w:r>
        <w:t xml:space="preserve">The CDPP provides partner agencies with a wealth of key information and resources through the Partner Agency Portal.  These resources include National Offence Guides, Warrants’ Manuals and key Guidelines relating to issues such as disclosure.  The Partner Agency Portal is hosted on the CDPP’s website at </w:t>
      </w:r>
      <w:hyperlink r:id="rId13" w:history="1">
        <w:r w:rsidRPr="005F13BB">
          <w:rPr>
            <w:rStyle w:val="Hyperlink"/>
            <w:rFonts w:ascii="Calibri" w:hAnsi="Calibri" w:cstheme="minorBidi"/>
          </w:rPr>
          <w:t>www.cdpp.gov.au</w:t>
        </w:r>
      </w:hyperlink>
      <w:r>
        <w:t>.</w:t>
      </w:r>
    </w:p>
    <w:p w14:paraId="6DEE2926" w14:textId="295BA9CE" w:rsidR="006B0B45" w:rsidRPr="00824FE5" w:rsidRDefault="00824FE5" w:rsidP="00824FE5">
      <w:pPr>
        <w:pStyle w:val="PROSSERVICEHEADING"/>
      </w:pPr>
      <w:bookmarkStart w:id="23" w:name="_Toc61339349"/>
      <w:r w:rsidRPr="00824FE5">
        <w:t>OTHER KEY RESOURCES RELATING TO PARTNER AGENCIES</w:t>
      </w:r>
      <w:bookmarkEnd w:id="23"/>
    </w:p>
    <w:p w14:paraId="5EDA122E" w14:textId="77777777" w:rsidR="00824FE5" w:rsidRDefault="00824FE5" w:rsidP="009F687C">
      <w:pPr>
        <w:pStyle w:val="NLDbody"/>
      </w:pPr>
      <w:r>
        <w:t>Other key resources are:</w:t>
      </w:r>
    </w:p>
    <w:p w14:paraId="30EA61E2" w14:textId="42375A14" w:rsidR="00932924" w:rsidRPr="00F74BF5" w:rsidRDefault="00212747" w:rsidP="00824FE5">
      <w:pPr>
        <w:pStyle w:val="NumberedList1"/>
        <w:numPr>
          <w:ilvl w:val="0"/>
          <w:numId w:val="24"/>
        </w:numPr>
        <w:spacing w:line="276" w:lineRule="auto"/>
      </w:pPr>
      <w:hyperlink r:id="rId14" w:history="1">
        <w:r w:rsidR="00932924" w:rsidRPr="00F74BF5">
          <w:rPr>
            <w:rStyle w:val="Hyperlink"/>
            <w:rFonts w:ascii="Calibri" w:hAnsi="Calibri" w:cstheme="minorBidi"/>
          </w:rPr>
          <w:t xml:space="preserve">Partner Agency Engagement </w:t>
        </w:r>
        <w:bookmarkStart w:id="24" w:name="_GoBack"/>
        <w:bookmarkEnd w:id="24"/>
        <w:r w:rsidR="00932924" w:rsidRPr="00F74BF5">
          <w:rPr>
            <w:rStyle w:val="Hyperlink"/>
            <w:rFonts w:ascii="Calibri" w:hAnsi="Calibri" w:cstheme="minorBidi"/>
          </w:rPr>
          <w:t>S</w:t>
        </w:r>
        <w:r w:rsidR="00932924" w:rsidRPr="00F74BF5">
          <w:rPr>
            <w:rStyle w:val="Hyperlink"/>
            <w:rFonts w:ascii="Calibri" w:hAnsi="Calibri" w:cstheme="minorBidi"/>
          </w:rPr>
          <w:t>trategy</w:t>
        </w:r>
      </w:hyperlink>
    </w:p>
    <w:p w14:paraId="4E069D79" w14:textId="7250FCE7" w:rsidR="00932924" w:rsidRPr="00824FE5" w:rsidRDefault="00212747" w:rsidP="00824FE5">
      <w:pPr>
        <w:pStyle w:val="NumberedList1"/>
        <w:numPr>
          <w:ilvl w:val="0"/>
          <w:numId w:val="24"/>
        </w:numPr>
        <w:spacing w:line="276" w:lineRule="auto"/>
      </w:pPr>
      <w:hyperlink r:id="rId15" w:history="1">
        <w:r w:rsidR="00932924" w:rsidRPr="00824FE5">
          <w:rPr>
            <w:rStyle w:val="Hyperlink"/>
            <w:rFonts w:ascii="Calibri" w:hAnsi="Calibri" w:cstheme="minorBidi"/>
          </w:rPr>
          <w:t>Guidelines for Dealings between CDPP and Investigative Agencies</w:t>
        </w:r>
      </w:hyperlink>
    </w:p>
    <w:p w14:paraId="0224E6F6" w14:textId="3924DB0B" w:rsidR="00932924" w:rsidRPr="00FF05EB" w:rsidRDefault="00212747" w:rsidP="00824FE5">
      <w:pPr>
        <w:pStyle w:val="NumberedList1"/>
        <w:numPr>
          <w:ilvl w:val="0"/>
          <w:numId w:val="24"/>
        </w:numPr>
        <w:spacing w:line="276" w:lineRule="auto"/>
      </w:pPr>
      <w:hyperlink r:id="rId16" w:history="1">
        <w:r w:rsidR="00866E78" w:rsidRPr="00824FE5">
          <w:rPr>
            <w:rStyle w:val="Hyperlink"/>
            <w:rFonts w:ascii="Calibri" w:hAnsi="Calibri" w:cstheme="minorBidi"/>
          </w:rPr>
          <w:t xml:space="preserve">Prosecution Services for Partner Agencies – A </w:t>
        </w:r>
        <w:r w:rsidR="00932924" w:rsidRPr="00824FE5">
          <w:rPr>
            <w:rStyle w:val="Hyperlink"/>
            <w:rFonts w:ascii="Calibri" w:hAnsi="Calibri" w:cstheme="minorBidi"/>
          </w:rPr>
          <w:t>Practical Guide</w:t>
        </w:r>
      </w:hyperlink>
      <w:r w:rsidR="00932924">
        <w:t xml:space="preserve"> </w:t>
      </w:r>
    </w:p>
    <w:sectPr w:rsidR="00932924" w:rsidRPr="00FF05EB" w:rsidSect="00532CE7">
      <w:headerReference w:type="default" r:id="rId17"/>
      <w:footerReference w:type="default" r:id="rId18"/>
      <w:headerReference w:type="first" r:id="rId19"/>
      <w:footerReference w:type="first" r:id="rId20"/>
      <w:type w:val="continuous"/>
      <w:pgSz w:w="11906" w:h="16838" w:code="9"/>
      <w:pgMar w:top="1021" w:right="1134" w:bottom="113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80043" w14:textId="77777777" w:rsidR="00070A56" w:rsidRDefault="00070A56" w:rsidP="005D0115">
      <w:pPr>
        <w:spacing w:before="0" w:after="0" w:line="240" w:lineRule="auto"/>
      </w:pPr>
      <w:r>
        <w:separator/>
      </w:r>
    </w:p>
  </w:endnote>
  <w:endnote w:type="continuationSeparator" w:id="0">
    <w:p w14:paraId="7A99FF67" w14:textId="77777777" w:rsidR="00070A56" w:rsidRDefault="00070A56" w:rsidP="005D0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ld">
    <w:panose1 w:val="020F0702030404030204"/>
    <w:charset w:val="00"/>
    <w:family w:val="auto"/>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455A" w14:textId="21907FB9" w:rsidR="009E4DBC" w:rsidRPr="00351DD0" w:rsidRDefault="009E4DBC" w:rsidP="00481E42">
    <w:pPr>
      <w:pStyle w:val="Footer"/>
      <w:tabs>
        <w:tab w:val="clear" w:pos="9026"/>
        <w:tab w:val="right" w:pos="9639"/>
      </w:tabs>
      <w:rPr>
        <w:b/>
      </w:rPr>
    </w:pPr>
    <w:r>
      <w:tab/>
    </w:r>
    <w:r>
      <w:tab/>
    </w:r>
    <w:r w:rsidRPr="00351DD0">
      <w:rPr>
        <w:b/>
      </w:rPr>
      <w:fldChar w:fldCharType="begin"/>
    </w:r>
    <w:r w:rsidRPr="00351DD0">
      <w:rPr>
        <w:b/>
      </w:rPr>
      <w:instrText xml:space="preserve"> PAGE   \* MERGEFORMAT </w:instrText>
    </w:r>
    <w:r w:rsidRPr="00351DD0">
      <w:rPr>
        <w:b/>
      </w:rPr>
      <w:fldChar w:fldCharType="separate"/>
    </w:r>
    <w:r w:rsidR="00FD0D5D">
      <w:rPr>
        <w:b/>
        <w:noProof/>
      </w:rPr>
      <w:t>4</w:t>
    </w:r>
    <w:r w:rsidRPr="00351DD0">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596C" w14:textId="54733545" w:rsidR="009E4DBC" w:rsidRPr="00351DD0" w:rsidRDefault="009E4DBC" w:rsidP="00481E42">
    <w:pPr>
      <w:pStyle w:val="Footer"/>
      <w:tabs>
        <w:tab w:val="clear" w:pos="9026"/>
        <w:tab w:val="right" w:pos="9639"/>
      </w:tabs>
      <w:rPr>
        <w:b/>
      </w:rPr>
    </w:pPr>
    <w:r>
      <w:tab/>
    </w:r>
    <w:r>
      <w:tab/>
    </w:r>
    <w:r w:rsidRPr="00351DD0">
      <w:rPr>
        <w:b/>
      </w:rPr>
      <w:fldChar w:fldCharType="begin"/>
    </w:r>
    <w:r w:rsidRPr="00351DD0">
      <w:rPr>
        <w:b/>
      </w:rPr>
      <w:instrText xml:space="preserve"> PAGE   \* MERGEFORMAT </w:instrText>
    </w:r>
    <w:r w:rsidRPr="00351DD0">
      <w:rPr>
        <w:b/>
      </w:rPr>
      <w:fldChar w:fldCharType="separate"/>
    </w:r>
    <w:r w:rsidR="00FD0D5D">
      <w:rPr>
        <w:b/>
        <w:noProof/>
      </w:rPr>
      <w:t>1</w:t>
    </w:r>
    <w:r w:rsidRPr="00351DD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19762" w14:textId="77777777" w:rsidR="00070A56" w:rsidRDefault="00070A56" w:rsidP="005D0115">
      <w:pPr>
        <w:spacing w:before="0" w:after="0" w:line="240" w:lineRule="auto"/>
      </w:pPr>
      <w:r>
        <w:separator/>
      </w:r>
    </w:p>
  </w:footnote>
  <w:footnote w:type="continuationSeparator" w:id="0">
    <w:p w14:paraId="4C44E504" w14:textId="77777777" w:rsidR="00070A56" w:rsidRDefault="00070A56" w:rsidP="005D0115">
      <w:pPr>
        <w:spacing w:before="0" w:after="0" w:line="240" w:lineRule="auto"/>
      </w:pPr>
      <w:r>
        <w:continuationSeparator/>
      </w:r>
    </w:p>
  </w:footnote>
  <w:footnote w:id="1">
    <w:p w14:paraId="7C463C16" w14:textId="79886937" w:rsidR="009E4DBC" w:rsidRPr="00B009AB" w:rsidRDefault="009E4DBC" w:rsidP="004F4711">
      <w:pPr>
        <w:pStyle w:val="FootnoteText"/>
        <w:rPr>
          <w:sz w:val="18"/>
          <w:szCs w:val="18"/>
        </w:rPr>
      </w:pPr>
      <w:r>
        <w:rPr>
          <w:rStyle w:val="FootnoteReference"/>
        </w:rPr>
        <w:footnoteRef/>
      </w:r>
      <w:r>
        <w:t xml:space="preserve"> </w:t>
      </w:r>
      <w:r w:rsidRPr="00B009AB">
        <w:rPr>
          <w:sz w:val="18"/>
          <w:szCs w:val="18"/>
        </w:rPr>
        <w:t xml:space="preserve">The </w:t>
      </w:r>
      <w:hyperlink r:id="rId1" w:history="1">
        <w:r w:rsidRPr="00824FE5">
          <w:rPr>
            <w:rStyle w:val="Hyperlink"/>
            <w:rFonts w:ascii="Calibri" w:hAnsi="Calibri" w:cstheme="minorBidi"/>
            <w:i/>
            <w:sz w:val="18"/>
            <w:szCs w:val="18"/>
          </w:rPr>
          <w:t>Guidelines for dealings between Investigators and the Commonwealth Director of Public Prosecutions</w:t>
        </w:r>
      </w:hyperlink>
      <w:r w:rsidRPr="00B009AB">
        <w:rPr>
          <w:i/>
          <w:sz w:val="18"/>
          <w:szCs w:val="18"/>
        </w:rPr>
        <w:t xml:space="preserve"> </w:t>
      </w:r>
      <w:r w:rsidRPr="00B009AB">
        <w:rPr>
          <w:sz w:val="18"/>
          <w:szCs w:val="18"/>
        </w:rPr>
        <w:t>is available on the Partner Agency Portal.</w:t>
      </w:r>
    </w:p>
  </w:footnote>
  <w:footnote w:id="2">
    <w:p w14:paraId="2D7C144D" w14:textId="77777777" w:rsidR="009E4DBC" w:rsidRPr="0095030D" w:rsidRDefault="009E4DBC">
      <w:pPr>
        <w:pStyle w:val="FootnoteText"/>
        <w:rPr>
          <w:sz w:val="18"/>
          <w:szCs w:val="18"/>
        </w:rPr>
      </w:pPr>
      <w:r>
        <w:rPr>
          <w:rStyle w:val="FootnoteReference"/>
        </w:rPr>
        <w:footnoteRef/>
      </w:r>
      <w:r>
        <w:t xml:space="preserve"> </w:t>
      </w:r>
      <w:r w:rsidRPr="0095030D">
        <w:rPr>
          <w:sz w:val="18"/>
          <w:szCs w:val="18"/>
        </w:rPr>
        <w:t>Examples of operational decisions include whether an investigation will commence or continue, whether resources will be committed to an investigation or to a particular aspect of it, decisions as to whether to scope an investigation, decisions as to whether to exercise a specific statutory power (</w:t>
      </w:r>
      <w:proofErr w:type="spellStart"/>
      <w:r w:rsidRPr="0095030D">
        <w:rPr>
          <w:sz w:val="18"/>
          <w:szCs w:val="18"/>
        </w:rPr>
        <w:t>eg</w:t>
      </w:r>
      <w:proofErr w:type="spellEnd"/>
      <w:r w:rsidRPr="0095030D">
        <w:rPr>
          <w:sz w:val="18"/>
          <w:szCs w:val="18"/>
        </w:rPr>
        <w:t xml:space="preserve"> the power of arrest).</w:t>
      </w:r>
    </w:p>
  </w:footnote>
  <w:footnote w:id="3">
    <w:p w14:paraId="0C238EA4" w14:textId="6463CAF0" w:rsidR="009D0346" w:rsidRPr="00824FE5" w:rsidRDefault="009D0346">
      <w:pPr>
        <w:pStyle w:val="FootnoteText"/>
        <w:rPr>
          <w:sz w:val="18"/>
          <w:szCs w:val="18"/>
        </w:rPr>
      </w:pPr>
      <w:r w:rsidRPr="00824FE5">
        <w:rPr>
          <w:rStyle w:val="FootnoteReference"/>
          <w:sz w:val="18"/>
          <w:szCs w:val="18"/>
        </w:rPr>
        <w:footnoteRef/>
      </w:r>
      <w:r w:rsidRPr="00824FE5">
        <w:rPr>
          <w:sz w:val="18"/>
          <w:szCs w:val="18"/>
        </w:rPr>
        <w:t xml:space="preserve"> Also known as a </w:t>
      </w:r>
      <w:r>
        <w:rPr>
          <w:sz w:val="18"/>
          <w:szCs w:val="18"/>
        </w:rPr>
        <w:t>Deputy Director</w:t>
      </w:r>
      <w:r w:rsidR="009F687C">
        <w:rPr>
          <w:sz w:val="18"/>
          <w:szCs w:val="18"/>
        </w:rPr>
        <w:t>.</w:t>
      </w:r>
      <w:r w:rsidRPr="00824FE5">
        <w:rPr>
          <w:sz w:val="18"/>
          <w:szCs w:val="18"/>
        </w:rPr>
        <w:t xml:space="preserve"> </w:t>
      </w:r>
    </w:p>
  </w:footnote>
  <w:footnote w:id="4">
    <w:p w14:paraId="4B23D3B0" w14:textId="77777777" w:rsidR="009E4DBC" w:rsidRPr="00B009AB" w:rsidRDefault="009E4DBC" w:rsidP="004F4711">
      <w:pPr>
        <w:pStyle w:val="FootnoteText"/>
        <w:rPr>
          <w:sz w:val="18"/>
          <w:szCs w:val="18"/>
        </w:rPr>
      </w:pPr>
      <w:r>
        <w:rPr>
          <w:rStyle w:val="FootnoteReference"/>
        </w:rPr>
        <w:footnoteRef/>
      </w:r>
      <w:r>
        <w:t xml:space="preserve"> </w:t>
      </w:r>
      <w:r w:rsidRPr="00B009AB">
        <w:rPr>
          <w:sz w:val="18"/>
          <w:szCs w:val="18"/>
        </w:rPr>
        <w:t xml:space="preserve">See </w:t>
      </w:r>
      <w:r w:rsidRPr="00B009AB">
        <w:rPr>
          <w:i/>
          <w:sz w:val="18"/>
          <w:szCs w:val="18"/>
        </w:rPr>
        <w:t xml:space="preserve">Practice Groups, Crimes Covered and Partner Agencies </w:t>
      </w:r>
      <w:r w:rsidRPr="00B009AB">
        <w:rPr>
          <w:sz w:val="18"/>
          <w:szCs w:val="18"/>
        </w:rPr>
        <w:t xml:space="preserve">resources available on the CDPP Partner Agency Portal.  Contact details of the relevant Practice Group Leader and Practice Group Coordinator are available there. </w:t>
      </w:r>
    </w:p>
  </w:footnote>
  <w:footnote w:id="5">
    <w:p w14:paraId="387CE3ED" w14:textId="5CAF215D" w:rsidR="009E4DBC" w:rsidRPr="00707C17" w:rsidRDefault="009E4DBC">
      <w:pPr>
        <w:pStyle w:val="FootnoteText"/>
        <w:rPr>
          <w:sz w:val="18"/>
          <w:szCs w:val="18"/>
        </w:rPr>
      </w:pPr>
      <w:r w:rsidRPr="00707C17">
        <w:rPr>
          <w:rStyle w:val="FootnoteReference"/>
          <w:sz w:val="18"/>
          <w:szCs w:val="18"/>
        </w:rPr>
        <w:footnoteRef/>
      </w:r>
      <w:r w:rsidRPr="00707C17">
        <w:rPr>
          <w:sz w:val="18"/>
          <w:szCs w:val="18"/>
        </w:rPr>
        <w:t xml:space="preserve"> </w:t>
      </w:r>
      <w:r w:rsidRPr="00B77DAA">
        <w:rPr>
          <w:sz w:val="18"/>
          <w:szCs w:val="18"/>
        </w:rPr>
        <w:t xml:space="preserve">Further information on the advisory role of the CDPP is contained in the </w:t>
      </w:r>
      <w:hyperlink r:id="rId2" w:history="1">
        <w:r w:rsidRPr="00150B09">
          <w:rPr>
            <w:rStyle w:val="Hyperlink"/>
            <w:rFonts w:ascii="Calibri" w:hAnsi="Calibri" w:cstheme="minorBidi"/>
            <w:sz w:val="18"/>
            <w:szCs w:val="18"/>
          </w:rPr>
          <w:t>Guidelines and Directions Manual – Advisory Role of the CDPP</w:t>
        </w:r>
      </w:hyperlink>
      <w:r w:rsidRPr="00B77DAA">
        <w:rPr>
          <w:sz w:val="18"/>
          <w:szCs w:val="18"/>
        </w:rPr>
        <w:t>.</w:t>
      </w:r>
      <w:r>
        <w:rPr>
          <w:sz w:val="18"/>
          <w:szCs w:val="18"/>
        </w:rPr>
        <w:t xml:space="preserve"> It should be noted that t</w:t>
      </w:r>
      <w:r w:rsidRPr="00707C17">
        <w:rPr>
          <w:sz w:val="18"/>
          <w:szCs w:val="18"/>
        </w:rPr>
        <w:t xml:space="preserve">he </w:t>
      </w:r>
      <w:hyperlink r:id="rId3" w:history="1">
        <w:r w:rsidRPr="00150B09">
          <w:rPr>
            <w:rStyle w:val="Hyperlink"/>
            <w:rFonts w:ascii="Calibri" w:hAnsi="Calibri" w:cstheme="minorBidi"/>
            <w:sz w:val="18"/>
            <w:szCs w:val="18"/>
          </w:rPr>
          <w:t>Counter Terrorism Qualified Advice (Evidence) Guidelines</w:t>
        </w:r>
      </w:hyperlink>
      <w:r w:rsidRPr="00707C17">
        <w:rPr>
          <w:sz w:val="18"/>
          <w:szCs w:val="18"/>
        </w:rPr>
        <w:t xml:space="preserve"> </w:t>
      </w:r>
      <w:r>
        <w:rPr>
          <w:sz w:val="18"/>
          <w:szCs w:val="18"/>
        </w:rPr>
        <w:t>govern</w:t>
      </w:r>
      <w:r w:rsidRPr="00707C17">
        <w:rPr>
          <w:sz w:val="18"/>
          <w:szCs w:val="18"/>
        </w:rPr>
        <w:t xml:space="preserve"> request</w:t>
      </w:r>
      <w:r>
        <w:rPr>
          <w:sz w:val="18"/>
          <w:szCs w:val="18"/>
        </w:rPr>
        <w:t>s</w:t>
      </w:r>
      <w:r w:rsidRPr="00707C17">
        <w:rPr>
          <w:sz w:val="18"/>
          <w:szCs w:val="18"/>
        </w:rPr>
        <w:t xml:space="preserve"> made by the J</w:t>
      </w:r>
      <w:r>
        <w:rPr>
          <w:sz w:val="18"/>
          <w:szCs w:val="18"/>
        </w:rPr>
        <w:t>oint Counter Terrorism Team</w:t>
      </w:r>
      <w:r w:rsidRPr="00707C17">
        <w:rPr>
          <w:sz w:val="18"/>
          <w:szCs w:val="18"/>
        </w:rPr>
        <w:t xml:space="preserve"> to the CDPP for pre-brief advice on the strength of the evidence</w:t>
      </w:r>
      <w:r>
        <w:rPr>
          <w:sz w:val="18"/>
          <w:szCs w:val="18"/>
        </w:rPr>
        <w:t xml:space="preserve"> in an investigation</w:t>
      </w:r>
      <w:r w:rsidRPr="00707C17">
        <w:rPr>
          <w:sz w:val="18"/>
          <w:szCs w:val="18"/>
        </w:rPr>
        <w:t>, prior to submission of a complete brief of evidence.  This process enable</w:t>
      </w:r>
      <w:r>
        <w:rPr>
          <w:sz w:val="18"/>
          <w:szCs w:val="18"/>
        </w:rPr>
        <w:t>s</w:t>
      </w:r>
      <w:r w:rsidRPr="00707C17">
        <w:rPr>
          <w:sz w:val="18"/>
          <w:szCs w:val="18"/>
        </w:rPr>
        <w:t xml:space="preserve"> the CDPP to provide advice on whether a </w:t>
      </w:r>
      <w:r w:rsidRPr="00D757A4">
        <w:rPr>
          <w:i/>
          <w:sz w:val="18"/>
          <w:szCs w:val="18"/>
        </w:rPr>
        <w:t>prima facie</w:t>
      </w:r>
      <w:r w:rsidRPr="00707C17">
        <w:rPr>
          <w:sz w:val="18"/>
          <w:szCs w:val="18"/>
        </w:rPr>
        <w:t xml:space="preserve"> case exists </w:t>
      </w:r>
      <w:proofErr w:type="gramStart"/>
      <w:r w:rsidRPr="00707C17">
        <w:rPr>
          <w:sz w:val="18"/>
          <w:szCs w:val="18"/>
        </w:rPr>
        <w:t>on the basis of</w:t>
      </w:r>
      <w:proofErr w:type="gramEnd"/>
      <w:r w:rsidRPr="00707C17">
        <w:rPr>
          <w:sz w:val="18"/>
          <w:szCs w:val="18"/>
        </w:rPr>
        <w:t xml:space="preserve"> th</w:t>
      </w:r>
      <w:r>
        <w:rPr>
          <w:sz w:val="18"/>
          <w:szCs w:val="18"/>
        </w:rPr>
        <w:t>e material submitted pursuant to those Guidelines</w:t>
      </w:r>
      <w:r w:rsidRPr="00707C1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2D70" w14:textId="77777777" w:rsidR="009E4DBC" w:rsidRPr="00804DE0" w:rsidRDefault="009E4DBC" w:rsidP="009D42DC">
    <w:pPr>
      <w:pStyle w:val="Header"/>
      <w:tabs>
        <w:tab w:val="clear" w:pos="9026"/>
        <w:tab w:val="right" w:pos="9639"/>
      </w:tabs>
      <w:jc w:val="right"/>
    </w:pPr>
    <w:r>
      <w:t>National Legal Direction</w:t>
    </w:r>
  </w:p>
  <w:p w14:paraId="45D50CD6" w14:textId="32D26877" w:rsidR="009E4DBC" w:rsidRDefault="009E4DBC" w:rsidP="009D42DC">
    <w:pPr>
      <w:pStyle w:val="Header"/>
      <w:pBdr>
        <w:bottom w:val="single" w:sz="4" w:space="1" w:color="BCCF00"/>
      </w:pBdr>
      <w:tabs>
        <w:tab w:val="clear" w:pos="9026"/>
        <w:tab w:val="right" w:pos="9639"/>
      </w:tabs>
      <w:rPr>
        <w:b/>
      </w:rPr>
    </w:pPr>
    <w:r w:rsidRPr="00A61D41">
      <w:rPr>
        <w:b/>
      </w:rPr>
      <w:t xml:space="preserve">Last </w:t>
    </w:r>
    <w:r>
      <w:rPr>
        <w:b/>
      </w:rPr>
      <w:t>u</w:t>
    </w:r>
    <w:r w:rsidRPr="00A61D41">
      <w:rPr>
        <w:b/>
      </w:rPr>
      <w:t xml:space="preserve">pdate: </w:t>
    </w:r>
    <w:r w:rsidR="00212747">
      <w:rPr>
        <w:b/>
      </w:rPr>
      <w:t xml:space="preserve">18 </w:t>
    </w:r>
    <w:r w:rsidR="007D0589">
      <w:rPr>
        <w:b/>
      </w:rPr>
      <w:t xml:space="preserve">January </w:t>
    </w:r>
    <w:r w:rsidR="00204180">
      <w:rPr>
        <w:b/>
      </w:rPr>
      <w:t>202</w:t>
    </w:r>
    <w:r w:rsidR="007D0589">
      <w:rPr>
        <w:b/>
      </w:rPr>
      <w:t>1</w:t>
    </w:r>
    <w:r w:rsidRPr="00A61D41">
      <w:rPr>
        <w:b/>
      </w:rPr>
      <w:tab/>
    </w:r>
    <w:r w:rsidRPr="00A61D41">
      <w:rPr>
        <w:b/>
      </w:rPr>
      <w:tab/>
    </w:r>
    <w:r>
      <w:rPr>
        <w:b/>
      </w:rPr>
      <w:t>Prosecution Services for Partner Agencies</w:t>
    </w:r>
  </w:p>
  <w:p w14:paraId="195A494F" w14:textId="77777777" w:rsidR="009E4DBC" w:rsidRPr="009D42DC" w:rsidRDefault="009E4DBC" w:rsidP="009D4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0BD4" w14:textId="77777777" w:rsidR="009E4DBC" w:rsidRDefault="009E4DBC" w:rsidP="005D0F9D">
    <w:pPr>
      <w:pStyle w:val="Header"/>
      <w:tabs>
        <w:tab w:val="clear" w:pos="4513"/>
        <w:tab w:val="clear" w:pos="9026"/>
        <w:tab w:val="left" w:pos="6960"/>
      </w:tabs>
    </w:pPr>
    <w:r>
      <w:rPr>
        <w:noProof/>
        <w:lang w:eastAsia="en-AU"/>
      </w:rPr>
      <w:drawing>
        <wp:anchor distT="0" distB="0" distL="114300" distR="114300" simplePos="0" relativeHeight="251662336" behindDoc="1" locked="0" layoutInCell="1" allowOverlap="1" wp14:anchorId="55E66F91" wp14:editId="0452EC77">
          <wp:simplePos x="0" y="0"/>
          <wp:positionH relativeFrom="page">
            <wp:posOffset>231140</wp:posOffset>
          </wp:positionH>
          <wp:positionV relativeFrom="page">
            <wp:posOffset>198717</wp:posOffset>
          </wp:positionV>
          <wp:extent cx="7200000" cy="1057747"/>
          <wp:effectExtent l="0" t="0" r="1270" b="9525"/>
          <wp:wrapNone/>
          <wp:docPr id="4" name="Picture 3" title="CD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_L_Head-1.jpg"/>
                  <pic:cNvPicPr/>
                </pic:nvPicPr>
                <pic:blipFill>
                  <a:blip r:embed="rId1"/>
                  <a:stretch>
                    <a:fillRect/>
                  </a:stretch>
                </pic:blipFill>
                <pic:spPr>
                  <a:xfrm>
                    <a:off x="0" y="0"/>
                    <a:ext cx="7200000" cy="1057747"/>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D26"/>
    <w:multiLevelType w:val="multilevel"/>
    <w:tmpl w:val="5A1A2DF6"/>
    <w:lvl w:ilvl="0">
      <w:start w:val="1"/>
      <w:numFmt w:val="decimal"/>
      <w:lvlText w:val="%1."/>
      <w:lvlJc w:val="left"/>
      <w:pPr>
        <w:ind w:left="284" w:hanging="284"/>
      </w:pPr>
      <w:rPr>
        <w:rFonts w:hint="default"/>
        <w:b/>
      </w:rPr>
    </w:lvl>
    <w:lvl w:ilvl="1">
      <w:start w:val="1"/>
      <w:numFmt w:val="lowerRoman"/>
      <w:lvlText w:val="(%2)"/>
      <w:lvlJc w:val="right"/>
      <w:pPr>
        <w:ind w:left="851" w:hanging="284"/>
      </w:pPr>
      <w:rPr>
        <w:rFonts w:asciiTheme="minorHAnsi" w:eastAsia="Times New Roman" w:hAnsiTheme="minorHAnsi" w:cs="Times New Roman"/>
        <w:b/>
      </w:rPr>
    </w:lvl>
    <w:lvl w:ilvl="2">
      <w:start w:val="1"/>
      <w:numFmt w:val="decimal"/>
      <w:lvlText w:val="(%3)"/>
      <w:lvlJc w:val="left"/>
      <w:pPr>
        <w:ind w:left="1418" w:hanging="284"/>
      </w:pPr>
      <w:rPr>
        <w:rFonts w:hint="default"/>
        <w: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A2F6B80"/>
    <w:multiLevelType w:val="multilevel"/>
    <w:tmpl w:val="B6D6DC76"/>
    <w:styleLink w:val="Numberedlist"/>
    <w:lvl w:ilvl="0">
      <w:start w:val="1"/>
      <w:numFmt w:val="decimal"/>
      <w:pStyle w:val="NLDbody"/>
      <w:lvlText w:val="%1."/>
      <w:lvlJc w:val="left"/>
      <w:pPr>
        <w:ind w:left="284" w:hanging="284"/>
      </w:pPr>
      <w:rPr>
        <w:rFonts w:hint="default"/>
        <w:b/>
      </w:rPr>
    </w:lvl>
    <w:lvl w:ilvl="1">
      <w:start w:val="1"/>
      <w:numFmt w:val="decimal"/>
      <w:lvlText w:val="%2."/>
      <w:lvlJc w:val="left"/>
      <w:pPr>
        <w:ind w:left="851" w:hanging="284"/>
      </w:pPr>
      <w:rPr>
        <w:rFonts w:hint="default"/>
        <w:b/>
      </w:rPr>
    </w:lvl>
    <w:lvl w:ilvl="2">
      <w:start w:val="1"/>
      <w:numFmt w:val="decimal"/>
      <w:pStyle w:val="NumberedList3"/>
      <w:lvlText w:val="(%3)"/>
      <w:lvlJc w:val="left"/>
      <w:pPr>
        <w:ind w:left="1418" w:hanging="284"/>
      </w:pPr>
      <w:rPr>
        <w:rFonts w:hint="default"/>
        <w: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5F7790"/>
    <w:multiLevelType w:val="hybridMultilevel"/>
    <w:tmpl w:val="67022C9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DB67315"/>
    <w:multiLevelType w:val="hybridMultilevel"/>
    <w:tmpl w:val="23A8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58032B"/>
    <w:multiLevelType w:val="hybridMultilevel"/>
    <w:tmpl w:val="50C611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74506"/>
    <w:multiLevelType w:val="multilevel"/>
    <w:tmpl w:val="B6D6DC76"/>
    <w:numStyleLink w:val="Numberedlist"/>
  </w:abstractNum>
  <w:abstractNum w:abstractNumId="6" w15:restartNumberingAfterBreak="0">
    <w:nsid w:val="25171B7A"/>
    <w:multiLevelType w:val="multilevel"/>
    <w:tmpl w:val="58262B4A"/>
    <w:styleLink w:val="AlphaLists"/>
    <w:lvl w:ilvl="0">
      <w:start w:val="1"/>
      <w:numFmt w:val="upperLetter"/>
      <w:pStyle w:val="AlphaList1"/>
      <w:lvlText w:val="%1."/>
      <w:lvlJc w:val="left"/>
      <w:pPr>
        <w:ind w:left="5672" w:hanging="284"/>
      </w:pPr>
      <w:rPr>
        <w:rFonts w:hint="default"/>
        <w:b/>
      </w:rPr>
    </w:lvl>
    <w:lvl w:ilvl="1">
      <w:start w:val="1"/>
      <w:numFmt w:val="lowerLetter"/>
      <w:pStyle w:val="AlphaList2"/>
      <w:lvlText w:val="%2."/>
      <w:lvlJc w:val="left"/>
      <w:pPr>
        <w:ind w:left="851" w:hanging="284"/>
      </w:pPr>
      <w:rPr>
        <w:rFonts w:hint="default"/>
        <w:b/>
      </w:rPr>
    </w:lvl>
    <w:lvl w:ilvl="2">
      <w:start w:val="1"/>
      <w:numFmt w:val="lowerLetter"/>
      <w:pStyle w:val="AlphaList3"/>
      <w:lvlText w:val="(%3)"/>
      <w:lvlJc w:val="left"/>
      <w:pPr>
        <w:ind w:left="1418" w:hanging="28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F22693"/>
    <w:multiLevelType w:val="hybridMultilevel"/>
    <w:tmpl w:val="4392A41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B9B159F"/>
    <w:multiLevelType w:val="multilevel"/>
    <w:tmpl w:val="A2A8B8E6"/>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BEB1F7A"/>
    <w:multiLevelType w:val="hybridMultilevel"/>
    <w:tmpl w:val="712073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E9A34A0"/>
    <w:multiLevelType w:val="multilevel"/>
    <w:tmpl w:val="C3587BC8"/>
    <w:lvl w:ilvl="0">
      <w:start w:val="1"/>
      <w:numFmt w:val="bullet"/>
      <w:lvlText w:val=""/>
      <w:lvlJc w:val="left"/>
      <w:pPr>
        <w:ind w:left="284" w:hanging="284"/>
      </w:pPr>
      <w:rPr>
        <w:rFonts w:ascii="Symbol" w:hAnsi="Symbol" w:hint="default"/>
      </w:rPr>
    </w:lvl>
    <w:lvl w:ilvl="1">
      <w:start w:val="1"/>
      <w:numFmt w:val="bullet"/>
      <w:lvlText w:val=""/>
      <w:lvlJc w:val="left"/>
      <w:pPr>
        <w:ind w:left="994" w:hanging="284"/>
      </w:pPr>
      <w:rPr>
        <w:rFonts w:ascii="Symbol" w:hAnsi="Symbol" w:hint="default"/>
      </w:rPr>
    </w:lvl>
    <w:lvl w:ilvl="2">
      <w:start w:val="1"/>
      <w:numFmt w:val="bullet"/>
      <w:lvlText w:val="–"/>
      <w:lvlJc w:val="left"/>
      <w:pPr>
        <w:ind w:left="1418"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0797BE4"/>
    <w:multiLevelType w:val="hybridMultilevel"/>
    <w:tmpl w:val="5B10DA60"/>
    <w:lvl w:ilvl="0" w:tplc="0C090001">
      <w:start w:val="1"/>
      <w:numFmt w:val="bullet"/>
      <w:lvlText w:val=""/>
      <w:lvlJc w:val="left"/>
      <w:pPr>
        <w:ind w:left="6599" w:hanging="360"/>
      </w:pPr>
      <w:rPr>
        <w:rFonts w:ascii="Symbol" w:hAnsi="Symbol" w:hint="default"/>
      </w:rPr>
    </w:lvl>
    <w:lvl w:ilvl="1" w:tplc="0C090003" w:tentative="1">
      <w:start w:val="1"/>
      <w:numFmt w:val="bullet"/>
      <w:lvlText w:val="o"/>
      <w:lvlJc w:val="left"/>
      <w:pPr>
        <w:ind w:left="7319" w:hanging="360"/>
      </w:pPr>
      <w:rPr>
        <w:rFonts w:ascii="Courier New" w:hAnsi="Courier New" w:cs="Courier New" w:hint="default"/>
      </w:rPr>
    </w:lvl>
    <w:lvl w:ilvl="2" w:tplc="0C090005" w:tentative="1">
      <w:start w:val="1"/>
      <w:numFmt w:val="bullet"/>
      <w:lvlText w:val=""/>
      <w:lvlJc w:val="left"/>
      <w:pPr>
        <w:ind w:left="8039" w:hanging="360"/>
      </w:pPr>
      <w:rPr>
        <w:rFonts w:ascii="Wingdings" w:hAnsi="Wingdings" w:hint="default"/>
      </w:rPr>
    </w:lvl>
    <w:lvl w:ilvl="3" w:tplc="0C090001" w:tentative="1">
      <w:start w:val="1"/>
      <w:numFmt w:val="bullet"/>
      <w:lvlText w:val=""/>
      <w:lvlJc w:val="left"/>
      <w:pPr>
        <w:ind w:left="8759" w:hanging="360"/>
      </w:pPr>
      <w:rPr>
        <w:rFonts w:ascii="Symbol" w:hAnsi="Symbol" w:hint="default"/>
      </w:rPr>
    </w:lvl>
    <w:lvl w:ilvl="4" w:tplc="0C090003" w:tentative="1">
      <w:start w:val="1"/>
      <w:numFmt w:val="bullet"/>
      <w:lvlText w:val="o"/>
      <w:lvlJc w:val="left"/>
      <w:pPr>
        <w:ind w:left="9479" w:hanging="360"/>
      </w:pPr>
      <w:rPr>
        <w:rFonts w:ascii="Courier New" w:hAnsi="Courier New" w:cs="Courier New" w:hint="default"/>
      </w:rPr>
    </w:lvl>
    <w:lvl w:ilvl="5" w:tplc="0C090005" w:tentative="1">
      <w:start w:val="1"/>
      <w:numFmt w:val="bullet"/>
      <w:lvlText w:val=""/>
      <w:lvlJc w:val="left"/>
      <w:pPr>
        <w:ind w:left="10199" w:hanging="360"/>
      </w:pPr>
      <w:rPr>
        <w:rFonts w:ascii="Wingdings" w:hAnsi="Wingdings" w:hint="default"/>
      </w:rPr>
    </w:lvl>
    <w:lvl w:ilvl="6" w:tplc="0C090001" w:tentative="1">
      <w:start w:val="1"/>
      <w:numFmt w:val="bullet"/>
      <w:lvlText w:val=""/>
      <w:lvlJc w:val="left"/>
      <w:pPr>
        <w:ind w:left="10919" w:hanging="360"/>
      </w:pPr>
      <w:rPr>
        <w:rFonts w:ascii="Symbol" w:hAnsi="Symbol" w:hint="default"/>
      </w:rPr>
    </w:lvl>
    <w:lvl w:ilvl="7" w:tplc="0C090003" w:tentative="1">
      <w:start w:val="1"/>
      <w:numFmt w:val="bullet"/>
      <w:lvlText w:val="o"/>
      <w:lvlJc w:val="left"/>
      <w:pPr>
        <w:ind w:left="11639" w:hanging="360"/>
      </w:pPr>
      <w:rPr>
        <w:rFonts w:ascii="Courier New" w:hAnsi="Courier New" w:cs="Courier New" w:hint="default"/>
      </w:rPr>
    </w:lvl>
    <w:lvl w:ilvl="8" w:tplc="0C090005" w:tentative="1">
      <w:start w:val="1"/>
      <w:numFmt w:val="bullet"/>
      <w:lvlText w:val=""/>
      <w:lvlJc w:val="left"/>
      <w:pPr>
        <w:ind w:left="12359" w:hanging="360"/>
      </w:pPr>
      <w:rPr>
        <w:rFonts w:ascii="Wingdings" w:hAnsi="Wingdings" w:hint="default"/>
      </w:rPr>
    </w:lvl>
  </w:abstractNum>
  <w:abstractNum w:abstractNumId="12" w15:restartNumberingAfterBreak="0">
    <w:nsid w:val="595D7E15"/>
    <w:multiLevelType w:val="multilevel"/>
    <w:tmpl w:val="9830E3CE"/>
    <w:styleLink w:val="TableHeadingNumbers"/>
    <w:lvl w:ilvl="0">
      <w:start w:val="1"/>
      <w:numFmt w:val="decimal"/>
      <w:pStyle w:val="TableHeadings"/>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DEF649F"/>
    <w:multiLevelType w:val="multilevel"/>
    <w:tmpl w:val="938276F2"/>
    <w:styleLink w:val="FigureTitles"/>
    <w:lvl w:ilvl="0">
      <w:start w:val="1"/>
      <w:numFmt w:val="decimal"/>
      <w:pStyle w:val="FigureHeadings"/>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B753C32"/>
    <w:multiLevelType w:val="hybridMultilevel"/>
    <w:tmpl w:val="EEFA964E"/>
    <w:lvl w:ilvl="0" w:tplc="43F6C6FA">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107305"/>
    <w:multiLevelType w:val="multilevel"/>
    <w:tmpl w:val="C3587BC8"/>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BAC4D65"/>
    <w:multiLevelType w:val="multilevel"/>
    <w:tmpl w:val="D71CC9A4"/>
    <w:lvl w:ilvl="0">
      <w:start w:val="1"/>
      <w:numFmt w:val="decimal"/>
      <w:lvlText w:val="%1."/>
      <w:lvlJc w:val="left"/>
      <w:pPr>
        <w:ind w:left="284" w:hanging="284"/>
      </w:pPr>
      <w:rPr>
        <w:rFonts w:hint="default"/>
        <w:b/>
      </w:rPr>
    </w:lvl>
    <w:lvl w:ilvl="1">
      <w:start w:val="1"/>
      <w:numFmt w:val="lowerRoman"/>
      <w:lvlText w:val="%2."/>
      <w:lvlJc w:val="right"/>
      <w:pPr>
        <w:ind w:left="851" w:hanging="284"/>
      </w:pPr>
      <w:rPr>
        <w:rFonts w:hint="default"/>
        <w:b/>
      </w:rPr>
    </w:lvl>
    <w:lvl w:ilvl="2">
      <w:start w:val="1"/>
      <w:numFmt w:val="decimal"/>
      <w:lvlText w:val="(%3)"/>
      <w:lvlJc w:val="left"/>
      <w:pPr>
        <w:ind w:left="1418" w:hanging="284"/>
      </w:pPr>
      <w:rPr>
        <w:rFonts w:hint="default"/>
        <w:b/>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
  </w:num>
  <w:num w:numId="2">
    <w:abstractNumId w:val="4"/>
  </w:num>
  <w:num w:numId="3">
    <w:abstractNumId w:val="6"/>
  </w:num>
  <w:num w:numId="4">
    <w:abstractNumId w:val="15"/>
  </w:num>
  <w:num w:numId="5">
    <w:abstractNumId w:val="13"/>
  </w:num>
  <w:num w:numId="6">
    <w:abstractNumId w:val="14"/>
  </w:num>
  <w:num w:numId="7">
    <w:abstractNumId w:val="8"/>
  </w:num>
  <w:num w:numId="8">
    <w:abstractNumId w:val="1"/>
  </w:num>
  <w:num w:numId="9">
    <w:abstractNumId w:val="12"/>
  </w:num>
  <w:num w:numId="10">
    <w:abstractNumId w:val="12"/>
  </w:num>
  <w:num w:numId="11">
    <w:abstractNumId w:val="5"/>
    <w:lvlOverride w:ilvl="0">
      <w:lvl w:ilvl="0">
        <w:start w:val="1"/>
        <w:numFmt w:val="decimal"/>
        <w:pStyle w:val="NLDbody"/>
        <w:lvlText w:val="%1."/>
        <w:lvlJc w:val="left"/>
        <w:pPr>
          <w:ind w:left="426" w:hanging="284"/>
        </w:pPr>
        <w:rPr>
          <w:rFonts w:hint="default"/>
          <w:b/>
          <w:i w:val="0"/>
          <w:color w:val="404040" w:themeColor="text1" w:themeTint="BF"/>
        </w:rPr>
      </w:lvl>
    </w:lvlOverride>
  </w:num>
  <w:num w:numId="12">
    <w:abstractNumId w:val="5"/>
    <w:lvlOverride w:ilvl="0">
      <w:lvl w:ilvl="0">
        <w:start w:val="1"/>
        <w:numFmt w:val="decimal"/>
        <w:pStyle w:val="NLDbody"/>
        <w:lvlText w:val="%1."/>
        <w:lvlJc w:val="left"/>
        <w:pPr>
          <w:ind w:left="284" w:hanging="284"/>
        </w:pPr>
        <w:rPr>
          <w:rFonts w:hint="default"/>
          <w:b w:val="0"/>
          <w:bCs/>
          <w:i w:val="0"/>
          <w:color w:val="404040" w:themeColor="text1" w:themeTint="BF"/>
        </w:rPr>
      </w:lvl>
    </w:lvlOverride>
  </w:num>
  <w:num w:numId="13">
    <w:abstractNumId w:val="5"/>
    <w:lvlOverride w:ilvl="0">
      <w:lvl w:ilvl="0">
        <w:start w:val="1"/>
        <w:numFmt w:val="decimal"/>
        <w:pStyle w:val="NLDbody"/>
        <w:lvlText w:val="%1."/>
        <w:lvlJc w:val="left"/>
        <w:pPr>
          <w:ind w:left="284" w:hanging="284"/>
        </w:pPr>
        <w:rPr>
          <w:rFonts w:hint="default"/>
          <w:b/>
          <w:i w:val="0"/>
          <w:color w:val="404040" w:themeColor="text1" w:themeTint="BF"/>
        </w:rPr>
      </w:lvl>
    </w:lvlOverride>
  </w:num>
  <w:num w:numId="14">
    <w:abstractNumId w:val="5"/>
    <w:lvlOverride w:ilvl="0">
      <w:lvl w:ilvl="0">
        <w:start w:val="1"/>
        <w:numFmt w:val="decimal"/>
        <w:pStyle w:val="NLDbody"/>
        <w:lvlText w:val="%1."/>
        <w:lvlJc w:val="left"/>
        <w:pPr>
          <w:ind w:left="284" w:hanging="284"/>
        </w:pPr>
        <w:rPr>
          <w:rFonts w:hint="default"/>
          <w:b/>
          <w:i w:val="0"/>
          <w:color w:val="404040" w:themeColor="text1" w:themeTint="BF"/>
        </w:rPr>
      </w:lvl>
    </w:lvlOverride>
  </w:num>
  <w:num w:numId="15">
    <w:abstractNumId w:val="2"/>
  </w:num>
  <w:num w:numId="16">
    <w:abstractNumId w:val="5"/>
    <w:lvlOverride w:ilvl="0">
      <w:lvl w:ilvl="0">
        <w:start w:val="1"/>
        <w:numFmt w:val="decimal"/>
        <w:pStyle w:val="NLDbody"/>
        <w:lvlText w:val="%1."/>
        <w:lvlJc w:val="left"/>
        <w:pPr>
          <w:ind w:left="284" w:hanging="284"/>
        </w:pPr>
        <w:rPr>
          <w:rFonts w:hint="default"/>
          <w:b/>
        </w:rPr>
      </w:lvl>
    </w:lvlOverride>
    <w:lvlOverride w:ilvl="1">
      <w:lvl w:ilvl="1">
        <w:start w:val="1"/>
        <w:numFmt w:val="decimal"/>
        <w:lvlText w:val="%2."/>
        <w:lvlJc w:val="left"/>
        <w:pPr>
          <w:ind w:left="851" w:hanging="284"/>
        </w:pPr>
        <w:rPr>
          <w:rFonts w:hint="default"/>
          <w:b/>
        </w:rPr>
      </w:lvl>
    </w:lvlOverride>
    <w:lvlOverride w:ilvl="2">
      <w:lvl w:ilvl="2">
        <w:start w:val="1"/>
        <w:numFmt w:val="decimal"/>
        <w:pStyle w:val="NumberedList3"/>
        <w:lvlText w:val="(%3)"/>
        <w:lvlJc w:val="left"/>
        <w:pPr>
          <w:ind w:left="1418" w:hanging="284"/>
        </w:pPr>
        <w:rPr>
          <w:rFonts w:hint="default"/>
          <w: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6"/>
  </w:num>
  <w:num w:numId="18">
    <w:abstractNumId w:val="0"/>
  </w:num>
  <w:num w:numId="19">
    <w:abstractNumId w:val="11"/>
  </w:num>
  <w:num w:numId="20">
    <w:abstractNumId w:val="7"/>
  </w:num>
  <w:num w:numId="21">
    <w:abstractNumId w:val="5"/>
  </w:num>
  <w:num w:numId="22">
    <w:abstractNumId w:val="10"/>
  </w:num>
  <w:num w:numId="23">
    <w:abstractNumId w:val="9"/>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107F6"/>
    <w:rsid w:val="0002782F"/>
    <w:rsid w:val="00033CA6"/>
    <w:rsid w:val="00042B4E"/>
    <w:rsid w:val="00043609"/>
    <w:rsid w:val="0004633B"/>
    <w:rsid w:val="000528CD"/>
    <w:rsid w:val="00053F95"/>
    <w:rsid w:val="000573F6"/>
    <w:rsid w:val="00060073"/>
    <w:rsid w:val="000609FB"/>
    <w:rsid w:val="00070A56"/>
    <w:rsid w:val="00075838"/>
    <w:rsid w:val="00075C63"/>
    <w:rsid w:val="000A3BA5"/>
    <w:rsid w:val="000A76B8"/>
    <w:rsid w:val="000B160E"/>
    <w:rsid w:val="000B1A56"/>
    <w:rsid w:val="000D1254"/>
    <w:rsid w:val="000E6C20"/>
    <w:rsid w:val="00105B11"/>
    <w:rsid w:val="00116105"/>
    <w:rsid w:val="00124A4D"/>
    <w:rsid w:val="00130677"/>
    <w:rsid w:val="001435D6"/>
    <w:rsid w:val="00150B09"/>
    <w:rsid w:val="001541EA"/>
    <w:rsid w:val="00186126"/>
    <w:rsid w:val="001A05EA"/>
    <w:rsid w:val="001E1DC0"/>
    <w:rsid w:val="00200794"/>
    <w:rsid w:val="00203164"/>
    <w:rsid w:val="00204180"/>
    <w:rsid w:val="00212747"/>
    <w:rsid w:val="00215508"/>
    <w:rsid w:val="0021719F"/>
    <w:rsid w:val="00223343"/>
    <w:rsid w:val="00242E75"/>
    <w:rsid w:val="0024515C"/>
    <w:rsid w:val="002740B5"/>
    <w:rsid w:val="00276C03"/>
    <w:rsid w:val="002838AA"/>
    <w:rsid w:val="0028602A"/>
    <w:rsid w:val="00287DE6"/>
    <w:rsid w:val="002915DA"/>
    <w:rsid w:val="002A0EB5"/>
    <w:rsid w:val="002A61DE"/>
    <w:rsid w:val="002D092B"/>
    <w:rsid w:val="002E2843"/>
    <w:rsid w:val="002F4B2F"/>
    <w:rsid w:val="002F6F80"/>
    <w:rsid w:val="002F71AA"/>
    <w:rsid w:val="00301AF0"/>
    <w:rsid w:val="003148B7"/>
    <w:rsid w:val="003158C3"/>
    <w:rsid w:val="00321699"/>
    <w:rsid w:val="00322E70"/>
    <w:rsid w:val="003252D3"/>
    <w:rsid w:val="003274CD"/>
    <w:rsid w:val="00335D72"/>
    <w:rsid w:val="0035119D"/>
    <w:rsid w:val="00351DD0"/>
    <w:rsid w:val="003538DD"/>
    <w:rsid w:val="00372DCB"/>
    <w:rsid w:val="00380E71"/>
    <w:rsid w:val="00390BD2"/>
    <w:rsid w:val="0039111D"/>
    <w:rsid w:val="003A2D8E"/>
    <w:rsid w:val="003A70E5"/>
    <w:rsid w:val="003B4F12"/>
    <w:rsid w:val="003C46E6"/>
    <w:rsid w:val="003E120B"/>
    <w:rsid w:val="00401D00"/>
    <w:rsid w:val="00407928"/>
    <w:rsid w:val="00423F31"/>
    <w:rsid w:val="004345FB"/>
    <w:rsid w:val="00434A6B"/>
    <w:rsid w:val="00437D3C"/>
    <w:rsid w:val="00446FFB"/>
    <w:rsid w:val="00481E42"/>
    <w:rsid w:val="004A3A10"/>
    <w:rsid w:val="004A6774"/>
    <w:rsid w:val="004B3775"/>
    <w:rsid w:val="004C0CBC"/>
    <w:rsid w:val="004C6049"/>
    <w:rsid w:val="004C610A"/>
    <w:rsid w:val="004D7BD9"/>
    <w:rsid w:val="004E058F"/>
    <w:rsid w:val="004E3B87"/>
    <w:rsid w:val="004F0C2E"/>
    <w:rsid w:val="004F2428"/>
    <w:rsid w:val="004F4711"/>
    <w:rsid w:val="00507B91"/>
    <w:rsid w:val="00510921"/>
    <w:rsid w:val="0051324F"/>
    <w:rsid w:val="00513348"/>
    <w:rsid w:val="00513F23"/>
    <w:rsid w:val="00522AE0"/>
    <w:rsid w:val="00523F80"/>
    <w:rsid w:val="00526ECA"/>
    <w:rsid w:val="00527F6F"/>
    <w:rsid w:val="00532CE7"/>
    <w:rsid w:val="00533B5D"/>
    <w:rsid w:val="00535596"/>
    <w:rsid w:val="00536A47"/>
    <w:rsid w:val="00553B85"/>
    <w:rsid w:val="00561896"/>
    <w:rsid w:val="00563801"/>
    <w:rsid w:val="005647BE"/>
    <w:rsid w:val="00572355"/>
    <w:rsid w:val="00574290"/>
    <w:rsid w:val="0058646D"/>
    <w:rsid w:val="00594BD8"/>
    <w:rsid w:val="00594E2A"/>
    <w:rsid w:val="005A58D4"/>
    <w:rsid w:val="005B20BC"/>
    <w:rsid w:val="005D0115"/>
    <w:rsid w:val="005D0F9D"/>
    <w:rsid w:val="005D688F"/>
    <w:rsid w:val="005F07DF"/>
    <w:rsid w:val="005F4AF9"/>
    <w:rsid w:val="00604513"/>
    <w:rsid w:val="00623BA1"/>
    <w:rsid w:val="00625346"/>
    <w:rsid w:val="006346BC"/>
    <w:rsid w:val="0065737E"/>
    <w:rsid w:val="0066652A"/>
    <w:rsid w:val="00673DB2"/>
    <w:rsid w:val="00682167"/>
    <w:rsid w:val="00687F05"/>
    <w:rsid w:val="006A30D0"/>
    <w:rsid w:val="006A5F70"/>
    <w:rsid w:val="006B0B45"/>
    <w:rsid w:val="006C2CA5"/>
    <w:rsid w:val="006C42AF"/>
    <w:rsid w:val="006D24E7"/>
    <w:rsid w:val="006E4B11"/>
    <w:rsid w:val="00706E41"/>
    <w:rsid w:val="00707C17"/>
    <w:rsid w:val="00711D8E"/>
    <w:rsid w:val="00712672"/>
    <w:rsid w:val="007210EA"/>
    <w:rsid w:val="007254B9"/>
    <w:rsid w:val="00734E3F"/>
    <w:rsid w:val="00735D08"/>
    <w:rsid w:val="00736985"/>
    <w:rsid w:val="0074735F"/>
    <w:rsid w:val="00756360"/>
    <w:rsid w:val="00771042"/>
    <w:rsid w:val="00783C49"/>
    <w:rsid w:val="00795110"/>
    <w:rsid w:val="007A2F79"/>
    <w:rsid w:val="007A3F78"/>
    <w:rsid w:val="007B3742"/>
    <w:rsid w:val="007B6200"/>
    <w:rsid w:val="007C0555"/>
    <w:rsid w:val="007C3A4C"/>
    <w:rsid w:val="007C4BE2"/>
    <w:rsid w:val="007D0589"/>
    <w:rsid w:val="007D5C97"/>
    <w:rsid w:val="007D698D"/>
    <w:rsid w:val="007F164C"/>
    <w:rsid w:val="007F432D"/>
    <w:rsid w:val="00800980"/>
    <w:rsid w:val="00801B9F"/>
    <w:rsid w:val="00807F56"/>
    <w:rsid w:val="00812F49"/>
    <w:rsid w:val="00824FE5"/>
    <w:rsid w:val="00832F32"/>
    <w:rsid w:val="00834BD2"/>
    <w:rsid w:val="00835D00"/>
    <w:rsid w:val="00844B07"/>
    <w:rsid w:val="00853EDC"/>
    <w:rsid w:val="00857FA9"/>
    <w:rsid w:val="00866E78"/>
    <w:rsid w:val="00897C85"/>
    <w:rsid w:val="008A39F6"/>
    <w:rsid w:val="008A3B6E"/>
    <w:rsid w:val="008B0342"/>
    <w:rsid w:val="008B188D"/>
    <w:rsid w:val="008B4DA3"/>
    <w:rsid w:val="008C31D7"/>
    <w:rsid w:val="008F5C69"/>
    <w:rsid w:val="009133C4"/>
    <w:rsid w:val="0091701E"/>
    <w:rsid w:val="00932924"/>
    <w:rsid w:val="009334C7"/>
    <w:rsid w:val="00933909"/>
    <w:rsid w:val="0095030D"/>
    <w:rsid w:val="009637E9"/>
    <w:rsid w:val="009732A5"/>
    <w:rsid w:val="00977894"/>
    <w:rsid w:val="00981492"/>
    <w:rsid w:val="009841FE"/>
    <w:rsid w:val="009959C5"/>
    <w:rsid w:val="009B4D3B"/>
    <w:rsid w:val="009C1A86"/>
    <w:rsid w:val="009D0346"/>
    <w:rsid w:val="009D42DC"/>
    <w:rsid w:val="009D7407"/>
    <w:rsid w:val="009E0866"/>
    <w:rsid w:val="009E2AAC"/>
    <w:rsid w:val="009E4DBC"/>
    <w:rsid w:val="009E687F"/>
    <w:rsid w:val="009F2EA9"/>
    <w:rsid w:val="009F687C"/>
    <w:rsid w:val="00A0182A"/>
    <w:rsid w:val="00A2040E"/>
    <w:rsid w:val="00A23825"/>
    <w:rsid w:val="00A24A62"/>
    <w:rsid w:val="00A31C9F"/>
    <w:rsid w:val="00A577D7"/>
    <w:rsid w:val="00A677A2"/>
    <w:rsid w:val="00A7083E"/>
    <w:rsid w:val="00A95F4B"/>
    <w:rsid w:val="00A972CF"/>
    <w:rsid w:val="00AB3456"/>
    <w:rsid w:val="00AB43E6"/>
    <w:rsid w:val="00AC164A"/>
    <w:rsid w:val="00AE19E0"/>
    <w:rsid w:val="00AE2B53"/>
    <w:rsid w:val="00AF1646"/>
    <w:rsid w:val="00AF58FD"/>
    <w:rsid w:val="00B16ED6"/>
    <w:rsid w:val="00B32568"/>
    <w:rsid w:val="00B326B8"/>
    <w:rsid w:val="00B43404"/>
    <w:rsid w:val="00B45102"/>
    <w:rsid w:val="00B5327E"/>
    <w:rsid w:val="00B65E9C"/>
    <w:rsid w:val="00B77DAA"/>
    <w:rsid w:val="00B83B4C"/>
    <w:rsid w:val="00B83C6A"/>
    <w:rsid w:val="00BB26C5"/>
    <w:rsid w:val="00BB73BA"/>
    <w:rsid w:val="00BC13E5"/>
    <w:rsid w:val="00BF0B6D"/>
    <w:rsid w:val="00BF25D3"/>
    <w:rsid w:val="00BF4DE6"/>
    <w:rsid w:val="00C056E0"/>
    <w:rsid w:val="00C157B6"/>
    <w:rsid w:val="00C25393"/>
    <w:rsid w:val="00C326A2"/>
    <w:rsid w:val="00C34793"/>
    <w:rsid w:val="00C42CDE"/>
    <w:rsid w:val="00C56DAA"/>
    <w:rsid w:val="00C60275"/>
    <w:rsid w:val="00C750D0"/>
    <w:rsid w:val="00C82788"/>
    <w:rsid w:val="00C9673A"/>
    <w:rsid w:val="00CA37B1"/>
    <w:rsid w:val="00CB1959"/>
    <w:rsid w:val="00CE07AD"/>
    <w:rsid w:val="00CE09CB"/>
    <w:rsid w:val="00CE2E1E"/>
    <w:rsid w:val="00CE5AB2"/>
    <w:rsid w:val="00CE7493"/>
    <w:rsid w:val="00CF3A51"/>
    <w:rsid w:val="00D020C4"/>
    <w:rsid w:val="00D0296C"/>
    <w:rsid w:val="00D10AB3"/>
    <w:rsid w:val="00D12B54"/>
    <w:rsid w:val="00D235FC"/>
    <w:rsid w:val="00D3314E"/>
    <w:rsid w:val="00D51A5C"/>
    <w:rsid w:val="00D6175D"/>
    <w:rsid w:val="00D647F4"/>
    <w:rsid w:val="00D6690A"/>
    <w:rsid w:val="00D72444"/>
    <w:rsid w:val="00D757A4"/>
    <w:rsid w:val="00D80868"/>
    <w:rsid w:val="00D84F0E"/>
    <w:rsid w:val="00DB0BC2"/>
    <w:rsid w:val="00DB63E9"/>
    <w:rsid w:val="00DB6586"/>
    <w:rsid w:val="00DC0E31"/>
    <w:rsid w:val="00DC18CC"/>
    <w:rsid w:val="00DC218D"/>
    <w:rsid w:val="00DC489A"/>
    <w:rsid w:val="00DE1AB5"/>
    <w:rsid w:val="00E06E75"/>
    <w:rsid w:val="00E10C58"/>
    <w:rsid w:val="00E16527"/>
    <w:rsid w:val="00E24416"/>
    <w:rsid w:val="00E263CE"/>
    <w:rsid w:val="00E439E4"/>
    <w:rsid w:val="00E46AB1"/>
    <w:rsid w:val="00E53800"/>
    <w:rsid w:val="00E6081F"/>
    <w:rsid w:val="00E76F8C"/>
    <w:rsid w:val="00E804C3"/>
    <w:rsid w:val="00E81459"/>
    <w:rsid w:val="00E84F00"/>
    <w:rsid w:val="00E85BAF"/>
    <w:rsid w:val="00EA04B2"/>
    <w:rsid w:val="00EA20F3"/>
    <w:rsid w:val="00EA66EA"/>
    <w:rsid w:val="00EC4573"/>
    <w:rsid w:val="00ED43D1"/>
    <w:rsid w:val="00ED5D08"/>
    <w:rsid w:val="00EE0B4C"/>
    <w:rsid w:val="00F012DC"/>
    <w:rsid w:val="00F04735"/>
    <w:rsid w:val="00F16E16"/>
    <w:rsid w:val="00F2684E"/>
    <w:rsid w:val="00F55D78"/>
    <w:rsid w:val="00F611AA"/>
    <w:rsid w:val="00F729EF"/>
    <w:rsid w:val="00F74BF5"/>
    <w:rsid w:val="00F96BB9"/>
    <w:rsid w:val="00FA43E0"/>
    <w:rsid w:val="00FB41A9"/>
    <w:rsid w:val="00FC62E0"/>
    <w:rsid w:val="00FC794B"/>
    <w:rsid w:val="00FD0D5D"/>
    <w:rsid w:val="00FD3982"/>
    <w:rsid w:val="00FE6D51"/>
    <w:rsid w:val="00FF05EB"/>
    <w:rsid w:val="00FF653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138EE4E"/>
  <w15:docId w15:val="{395B4D2B-B68A-40AE-9092-0D2281DE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43E0"/>
    <w:pPr>
      <w:suppressAutoHyphens/>
      <w:spacing w:before="100" w:after="100" w:line="260" w:lineRule="atLeast"/>
    </w:pPr>
    <w:rPr>
      <w:rFonts w:ascii="Calibri" w:hAnsi="Calibri"/>
      <w:color w:val="404040" w:themeColor="text1" w:themeTint="BF"/>
    </w:rPr>
  </w:style>
  <w:style w:type="paragraph" w:styleId="Heading1">
    <w:name w:val="heading 1"/>
    <w:basedOn w:val="Normal"/>
    <w:next w:val="Normal"/>
    <w:link w:val="Heading1Char"/>
    <w:uiPriority w:val="9"/>
    <w:qFormat/>
    <w:rsid w:val="00FA43E0"/>
    <w:pPr>
      <w:keepNext/>
      <w:keepLines/>
      <w:spacing w:before="240" w:after="240"/>
      <w:contextualSpacing/>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FA43E0"/>
    <w:pPr>
      <w:keepLines/>
      <w:spacing w:before="240"/>
      <w:contextualSpacing/>
      <w:outlineLvl w:val="1"/>
    </w:pPr>
    <w:rPr>
      <w:rFonts w:eastAsiaTheme="majorEastAsia" w:cstheme="majorBidi"/>
      <w:b/>
      <w:bCs/>
      <w:color w:val="947246"/>
      <w:szCs w:val="26"/>
    </w:rPr>
  </w:style>
  <w:style w:type="paragraph" w:styleId="Heading3">
    <w:name w:val="heading 3"/>
    <w:basedOn w:val="Normal"/>
    <w:next w:val="Normal"/>
    <w:link w:val="Heading3Char"/>
    <w:uiPriority w:val="9"/>
    <w:unhideWhenUsed/>
    <w:qFormat/>
    <w:rsid w:val="00FA43E0"/>
    <w:pPr>
      <w:keepNext/>
      <w:keepLines/>
      <w:spacing w:line="280" w:lineRule="atLeast"/>
      <w:contextualSpacing/>
      <w:outlineLvl w:val="2"/>
    </w:pPr>
    <w:rPr>
      <w:rFonts w:eastAsiaTheme="majorEastAsia" w:cstheme="majorBidi"/>
      <w:b/>
      <w:bCs/>
    </w:rPr>
  </w:style>
  <w:style w:type="paragraph" w:styleId="Heading4">
    <w:name w:val="heading 4"/>
    <w:basedOn w:val="Normal"/>
    <w:next w:val="Normal"/>
    <w:link w:val="Heading4Char"/>
    <w:uiPriority w:val="9"/>
    <w:unhideWhenUsed/>
    <w:qFormat/>
    <w:rsid w:val="00FA43E0"/>
    <w:pPr>
      <w:keepNext/>
      <w:keepLines/>
      <w:spacing w:before="180" w:after="0"/>
      <w:outlineLvl w:val="3"/>
    </w:pPr>
    <w:rPr>
      <w:rFonts w:eastAsiaTheme="majorEastAsia" w:cstheme="majorBidi"/>
      <w:b/>
      <w:i/>
      <w:iCs/>
      <w:sz w:val="24"/>
    </w:rPr>
  </w:style>
  <w:style w:type="paragraph" w:styleId="Heading5">
    <w:name w:val="heading 5"/>
    <w:basedOn w:val="Normal"/>
    <w:next w:val="Normal"/>
    <w:link w:val="Heading5Char"/>
    <w:uiPriority w:val="9"/>
    <w:semiHidden/>
    <w:unhideWhenUsed/>
    <w:qFormat/>
    <w:rsid w:val="00FA43E0"/>
    <w:pPr>
      <w:keepNext/>
      <w:keepLines/>
      <w:spacing w:before="240" w:after="0"/>
      <w:outlineLvl w:val="4"/>
    </w:pPr>
    <w:rPr>
      <w:rFonts w:asciiTheme="majorHAnsi" w:eastAsiaTheme="majorEastAsia" w:hAnsiTheme="majorHAnsi" w:cstheme="majorBidi"/>
      <w: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3E0"/>
    <w:rPr>
      <w:rFonts w:ascii="Calibri" w:eastAsiaTheme="majorEastAsia" w:hAnsi="Calibri" w:cstheme="majorBidi"/>
      <w:b/>
      <w:bCs/>
      <w:caps/>
      <w:color w:val="404040" w:themeColor="text1" w:themeTint="BF"/>
      <w:szCs w:val="28"/>
    </w:rPr>
  </w:style>
  <w:style w:type="character" w:customStyle="1" w:styleId="Heading2Char">
    <w:name w:val="Heading 2 Char"/>
    <w:basedOn w:val="DefaultParagraphFont"/>
    <w:link w:val="Heading2"/>
    <w:uiPriority w:val="9"/>
    <w:rsid w:val="00FA43E0"/>
    <w:rPr>
      <w:rFonts w:ascii="Calibri" w:eastAsiaTheme="majorEastAsia" w:hAnsi="Calibri" w:cstheme="majorBidi"/>
      <w:b/>
      <w:bCs/>
      <w:color w:val="947246"/>
      <w:szCs w:val="26"/>
    </w:rPr>
  </w:style>
  <w:style w:type="character" w:customStyle="1" w:styleId="Heading3Char">
    <w:name w:val="Heading 3 Char"/>
    <w:basedOn w:val="DefaultParagraphFont"/>
    <w:link w:val="Heading3"/>
    <w:uiPriority w:val="9"/>
    <w:rsid w:val="00FA43E0"/>
    <w:rPr>
      <w:rFonts w:ascii="Calibri" w:eastAsiaTheme="majorEastAsia" w:hAnsi="Calibri" w:cstheme="majorBidi"/>
      <w:b/>
      <w:bCs/>
      <w:color w:val="404040" w:themeColor="text1" w:themeTint="BF"/>
    </w:rPr>
  </w:style>
  <w:style w:type="paragraph" w:customStyle="1" w:styleId="NormalIndented">
    <w:name w:val="Normal Indented"/>
    <w:basedOn w:val="Normal"/>
    <w:qFormat/>
    <w:rsid w:val="00FA43E0"/>
    <w:pPr>
      <w:ind w:left="284"/>
    </w:pPr>
  </w:style>
  <w:style w:type="paragraph" w:styleId="Title">
    <w:name w:val="Title"/>
    <w:basedOn w:val="Normal"/>
    <w:next w:val="Normal"/>
    <w:link w:val="TitleChar"/>
    <w:uiPriority w:val="10"/>
    <w:qFormat/>
    <w:rsid w:val="00FA43E0"/>
    <w:pPr>
      <w:spacing w:after="0" w:line="300" w:lineRule="atLeast"/>
      <w:ind w:right="284"/>
      <w:contextualSpacing/>
      <w:jc w:val="right"/>
    </w:pPr>
    <w:rPr>
      <w:rFonts w:eastAsiaTheme="majorEastAsia" w:cstheme="majorBidi"/>
      <w:b/>
      <w:color w:val="BCCF00"/>
      <w:kern w:val="28"/>
      <w:sz w:val="24"/>
      <w:szCs w:val="52"/>
    </w:rPr>
  </w:style>
  <w:style w:type="character" w:customStyle="1" w:styleId="TitleChar">
    <w:name w:val="Title Char"/>
    <w:basedOn w:val="DefaultParagraphFont"/>
    <w:link w:val="Title"/>
    <w:uiPriority w:val="10"/>
    <w:rsid w:val="00FA43E0"/>
    <w:rPr>
      <w:rFonts w:ascii="Calibri" w:eastAsiaTheme="majorEastAsia" w:hAnsi="Calibri" w:cstheme="majorBidi"/>
      <w:b/>
      <w:color w:val="BCCF00"/>
      <w:kern w:val="28"/>
      <w:sz w:val="24"/>
      <w:szCs w:val="52"/>
    </w:rPr>
  </w:style>
  <w:style w:type="paragraph" w:styleId="Subtitle">
    <w:name w:val="Subtitle"/>
    <w:basedOn w:val="Normal"/>
    <w:next w:val="Normal"/>
    <w:link w:val="SubtitleChar"/>
    <w:uiPriority w:val="11"/>
    <w:qFormat/>
    <w:rsid w:val="00532CE7"/>
    <w:pPr>
      <w:numPr>
        <w:ilvl w:val="1"/>
      </w:numPr>
      <w:ind w:right="284"/>
      <w:contextualSpacing/>
    </w:pPr>
    <w:rPr>
      <w:rFonts w:ascii="Calibri Bold" w:eastAsiaTheme="majorEastAsia" w:hAnsi="Calibri Bold" w:cstheme="majorBidi"/>
      <w:b/>
      <w:bCs/>
      <w:color w:val="8D7252"/>
    </w:rPr>
  </w:style>
  <w:style w:type="character" w:customStyle="1" w:styleId="SubtitleChar">
    <w:name w:val="Subtitle Char"/>
    <w:basedOn w:val="DefaultParagraphFont"/>
    <w:link w:val="Subtitle"/>
    <w:uiPriority w:val="11"/>
    <w:rsid w:val="00532CE7"/>
    <w:rPr>
      <w:rFonts w:ascii="Calibri Bold" w:eastAsiaTheme="majorEastAsia" w:hAnsi="Calibri Bold" w:cstheme="majorBidi"/>
      <w:b/>
      <w:bCs/>
      <w:color w:val="8D7252"/>
    </w:rPr>
  </w:style>
  <w:style w:type="paragraph" w:customStyle="1" w:styleId="Bullet1">
    <w:name w:val="Bullet 1"/>
    <w:basedOn w:val="Normal"/>
    <w:qFormat/>
    <w:rsid w:val="00FA43E0"/>
    <w:pPr>
      <w:spacing w:before="0"/>
    </w:pPr>
  </w:style>
  <w:style w:type="paragraph" w:customStyle="1" w:styleId="Bullet2">
    <w:name w:val="Bullet 2"/>
    <w:basedOn w:val="Normal"/>
    <w:qFormat/>
    <w:rsid w:val="00FA43E0"/>
    <w:pPr>
      <w:spacing w:before="0"/>
    </w:pPr>
  </w:style>
  <w:style w:type="paragraph" w:customStyle="1" w:styleId="Bullet3">
    <w:name w:val="Bullet 3"/>
    <w:basedOn w:val="Normal"/>
    <w:qFormat/>
    <w:rsid w:val="00FA43E0"/>
    <w:pPr>
      <w:spacing w:before="0"/>
    </w:pPr>
  </w:style>
  <w:style w:type="paragraph" w:customStyle="1" w:styleId="NumberedList1">
    <w:name w:val="Numbered List 1"/>
    <w:basedOn w:val="Normal"/>
    <w:qFormat/>
    <w:rsid w:val="00223343"/>
    <w:pPr>
      <w:spacing w:before="0"/>
      <w:ind w:left="426" w:hanging="284"/>
    </w:pPr>
  </w:style>
  <w:style w:type="paragraph" w:customStyle="1" w:styleId="Heading10">
    <w:name w:val="Heading1"/>
    <w:basedOn w:val="Title"/>
    <w:qFormat/>
    <w:rsid w:val="005D0F9D"/>
  </w:style>
  <w:style w:type="paragraph" w:customStyle="1" w:styleId="NumberedList3">
    <w:name w:val="Numbered List 3"/>
    <w:basedOn w:val="Normal"/>
    <w:qFormat/>
    <w:rsid w:val="00FA43E0"/>
    <w:pPr>
      <w:numPr>
        <w:ilvl w:val="2"/>
        <w:numId w:val="11"/>
      </w:numPr>
      <w:spacing w:before="0"/>
    </w:pPr>
  </w:style>
  <w:style w:type="paragraph" w:customStyle="1" w:styleId="Heading1Numbered">
    <w:name w:val="Heading 1 Numbered"/>
    <w:basedOn w:val="Heading1"/>
    <w:next w:val="Normal"/>
    <w:qFormat/>
    <w:rsid w:val="00FA43E0"/>
    <w:pPr>
      <w:numPr>
        <w:numId w:val="7"/>
      </w:numPr>
    </w:pPr>
  </w:style>
  <w:style w:type="paragraph" w:customStyle="1" w:styleId="Heading2Numbered">
    <w:name w:val="Heading 2 Numbered"/>
    <w:basedOn w:val="Heading2"/>
    <w:next w:val="Normal"/>
    <w:qFormat/>
    <w:rsid w:val="00FA43E0"/>
    <w:pPr>
      <w:numPr>
        <w:numId w:val="6"/>
      </w:numPr>
    </w:pPr>
  </w:style>
  <w:style w:type="paragraph" w:customStyle="1" w:styleId="Heading3Numbered">
    <w:name w:val="Heading 3 Numbered"/>
    <w:basedOn w:val="Heading3"/>
    <w:next w:val="Normal"/>
    <w:qFormat/>
    <w:rsid w:val="00FA43E0"/>
    <w:pPr>
      <w:numPr>
        <w:ilvl w:val="2"/>
        <w:numId w:val="7"/>
      </w:numPr>
    </w:pPr>
  </w:style>
  <w:style w:type="numbering" w:customStyle="1" w:styleId="BulletsList">
    <w:name w:val="Bullets List"/>
    <w:uiPriority w:val="99"/>
    <w:rsid w:val="00FA43E0"/>
    <w:pPr>
      <w:numPr>
        <w:numId w:val="4"/>
      </w:numPr>
    </w:pPr>
  </w:style>
  <w:style w:type="numbering" w:customStyle="1" w:styleId="Numberedlist">
    <w:name w:val="Numbered list"/>
    <w:uiPriority w:val="99"/>
    <w:rsid w:val="00FA43E0"/>
    <w:pPr>
      <w:numPr>
        <w:numId w:val="1"/>
      </w:numPr>
    </w:pPr>
  </w:style>
  <w:style w:type="numbering" w:customStyle="1" w:styleId="HeadingsList">
    <w:name w:val="Headings List"/>
    <w:uiPriority w:val="99"/>
    <w:rsid w:val="00FA43E0"/>
    <w:pPr>
      <w:numPr>
        <w:numId w:val="7"/>
      </w:numPr>
    </w:pPr>
  </w:style>
  <w:style w:type="table" w:customStyle="1" w:styleId="PlainTable21">
    <w:name w:val="Plain Table 21"/>
    <w:basedOn w:val="TableNormal"/>
    <w:uiPriority w:val="42"/>
    <w:rsid w:val="00FA43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FA43E0"/>
    <w:pPr>
      <w:suppressAutoHyphens w:val="0"/>
      <w:spacing w:after="0" w:line="259" w:lineRule="auto"/>
      <w:contextualSpacing w:val="0"/>
      <w:outlineLvl w:val="9"/>
    </w:pPr>
    <w:rPr>
      <w:rFonts w:asciiTheme="majorHAnsi" w:hAnsiTheme="majorHAnsi"/>
      <w:b w:val="0"/>
      <w:bCs w:val="0"/>
      <w:sz w:val="32"/>
      <w:szCs w:val="32"/>
      <w:lang w:val="en-US"/>
    </w:rPr>
  </w:style>
  <w:style w:type="character" w:customStyle="1" w:styleId="Heading4Char">
    <w:name w:val="Heading 4 Char"/>
    <w:basedOn w:val="DefaultParagraphFont"/>
    <w:link w:val="Heading4"/>
    <w:uiPriority w:val="9"/>
    <w:rsid w:val="00FA43E0"/>
    <w:rPr>
      <w:rFonts w:ascii="Calibri" w:eastAsiaTheme="majorEastAsia" w:hAnsi="Calibri" w:cstheme="majorBidi"/>
      <w:b/>
      <w:i/>
      <w:iCs/>
      <w:color w:val="404040" w:themeColor="text1" w:themeTint="BF"/>
      <w:sz w:val="24"/>
    </w:rPr>
  </w:style>
  <w:style w:type="paragraph" w:styleId="TOC1">
    <w:name w:val="toc 1"/>
    <w:basedOn w:val="Normal"/>
    <w:next w:val="Normal"/>
    <w:autoRedefine/>
    <w:uiPriority w:val="39"/>
    <w:unhideWhenUsed/>
    <w:rsid w:val="00FA43E0"/>
    <w:pPr>
      <w:tabs>
        <w:tab w:val="right" w:leader="dot" w:pos="9628"/>
      </w:tabs>
    </w:pPr>
  </w:style>
  <w:style w:type="paragraph" w:styleId="TOC2">
    <w:name w:val="toc 2"/>
    <w:basedOn w:val="Normal"/>
    <w:next w:val="Normal"/>
    <w:autoRedefine/>
    <w:uiPriority w:val="39"/>
    <w:unhideWhenUsed/>
    <w:rsid w:val="00FA43E0"/>
    <w:pPr>
      <w:ind w:left="200"/>
    </w:pPr>
  </w:style>
  <w:style w:type="paragraph" w:styleId="TOC3">
    <w:name w:val="toc 3"/>
    <w:basedOn w:val="Normal"/>
    <w:next w:val="Normal"/>
    <w:autoRedefine/>
    <w:uiPriority w:val="39"/>
    <w:unhideWhenUsed/>
    <w:rsid w:val="00C750D0"/>
    <w:pPr>
      <w:tabs>
        <w:tab w:val="right" w:leader="dot" w:pos="9628"/>
      </w:tabs>
      <w:ind w:left="720"/>
    </w:pPr>
  </w:style>
  <w:style w:type="paragraph" w:customStyle="1" w:styleId="TableHeadings">
    <w:name w:val="Table Headings"/>
    <w:basedOn w:val="Normal"/>
    <w:next w:val="Normal"/>
    <w:qFormat/>
    <w:rsid w:val="00FA43E0"/>
    <w:pPr>
      <w:numPr>
        <w:numId w:val="10"/>
      </w:numPr>
      <w:spacing w:before="240"/>
    </w:pPr>
    <w:rPr>
      <w:b/>
      <w:sz w:val="24"/>
    </w:rPr>
  </w:style>
  <w:style w:type="paragraph" w:styleId="TOC4">
    <w:name w:val="toc 4"/>
    <w:basedOn w:val="Normal"/>
    <w:next w:val="Normal"/>
    <w:autoRedefine/>
    <w:uiPriority w:val="39"/>
    <w:unhideWhenUsed/>
    <w:rsid w:val="00FA43E0"/>
    <w:pPr>
      <w:suppressAutoHyphens w:val="0"/>
      <w:spacing w:before="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FA43E0"/>
    <w:pPr>
      <w:suppressAutoHyphens w:val="0"/>
      <w:spacing w:before="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FA43E0"/>
    <w:pPr>
      <w:suppressAutoHyphens w:val="0"/>
      <w:spacing w:before="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FA43E0"/>
    <w:pPr>
      <w:suppressAutoHyphens w:val="0"/>
      <w:spacing w:before="0" w:line="259" w:lineRule="auto"/>
      <w:ind w:left="1320"/>
    </w:pPr>
    <w:rPr>
      <w:rFonts w:asciiTheme="minorHAnsi" w:eastAsiaTheme="minorEastAsia" w:hAnsiTheme="minorHAnsi"/>
      <w:lang w:eastAsia="en-AU"/>
    </w:rPr>
  </w:style>
  <w:style w:type="numbering" w:customStyle="1" w:styleId="TableHeadingNumbers">
    <w:name w:val="Table Heading Numbers"/>
    <w:uiPriority w:val="99"/>
    <w:rsid w:val="00FA43E0"/>
    <w:pPr>
      <w:numPr>
        <w:numId w:val="9"/>
      </w:numPr>
    </w:pPr>
  </w:style>
  <w:style w:type="paragraph" w:styleId="TOC8">
    <w:name w:val="toc 8"/>
    <w:basedOn w:val="Normal"/>
    <w:next w:val="Normal"/>
    <w:autoRedefine/>
    <w:uiPriority w:val="39"/>
    <w:unhideWhenUsed/>
    <w:rsid w:val="00FA43E0"/>
    <w:pPr>
      <w:suppressAutoHyphens w:val="0"/>
      <w:spacing w:before="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FA43E0"/>
    <w:pPr>
      <w:suppressAutoHyphens w:val="0"/>
      <w:spacing w:before="0" w:line="259" w:lineRule="auto"/>
      <w:ind w:left="1760"/>
    </w:pPr>
    <w:rPr>
      <w:rFonts w:asciiTheme="minorHAnsi" w:eastAsiaTheme="minorEastAsia" w:hAnsiTheme="minorHAnsi"/>
      <w:lang w:eastAsia="en-AU"/>
    </w:rPr>
  </w:style>
  <w:style w:type="paragraph" w:styleId="TableofFigures">
    <w:name w:val="table of figures"/>
    <w:basedOn w:val="Normal"/>
    <w:next w:val="Normal"/>
    <w:uiPriority w:val="99"/>
    <w:unhideWhenUsed/>
    <w:rsid w:val="00FA43E0"/>
    <w:pPr>
      <w:spacing w:after="0"/>
      <w:ind w:left="907" w:hanging="907"/>
    </w:pPr>
  </w:style>
  <w:style w:type="paragraph" w:customStyle="1" w:styleId="IntroPara">
    <w:name w:val="Intro Para"/>
    <w:basedOn w:val="Normal"/>
    <w:qFormat/>
    <w:rsid w:val="00FA43E0"/>
    <w:pPr>
      <w:spacing w:line="280" w:lineRule="atLeast"/>
    </w:pPr>
    <w:rPr>
      <w:sz w:val="24"/>
    </w:rPr>
  </w:style>
  <w:style w:type="table" w:styleId="TableGrid">
    <w:name w:val="Table Grid"/>
    <w:basedOn w:val="TableNormal"/>
    <w:uiPriority w:val="59"/>
    <w:rsid w:val="00FA4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s">
    <w:name w:val="Figure Headings"/>
    <w:basedOn w:val="Normal"/>
    <w:next w:val="Normal"/>
    <w:qFormat/>
    <w:rsid w:val="00FA43E0"/>
    <w:pPr>
      <w:numPr>
        <w:numId w:val="5"/>
      </w:numPr>
      <w:spacing w:before="240"/>
    </w:pPr>
    <w:rPr>
      <w:b/>
      <w:sz w:val="24"/>
    </w:rPr>
  </w:style>
  <w:style w:type="numbering" w:customStyle="1" w:styleId="FigureTitles">
    <w:name w:val="Figure Titles"/>
    <w:uiPriority w:val="99"/>
    <w:rsid w:val="00FA43E0"/>
    <w:pPr>
      <w:numPr>
        <w:numId w:val="5"/>
      </w:numPr>
    </w:pPr>
  </w:style>
  <w:style w:type="character" w:styleId="Hyperlink">
    <w:name w:val="Hyperlink"/>
    <w:basedOn w:val="DefaultParagraphFont"/>
    <w:uiPriority w:val="99"/>
    <w:rsid w:val="00FA43E0"/>
    <w:rPr>
      <w:rFonts w:asciiTheme="minorHAnsi" w:hAnsiTheme="minorHAnsi" w:cs="MuseoSans-500"/>
      <w:color w:val="3333FF"/>
      <w:u w:val="single" w:color="0070C0"/>
    </w:rPr>
  </w:style>
  <w:style w:type="character" w:styleId="IntenseEmphasis">
    <w:name w:val="Intense Emphasis"/>
    <w:basedOn w:val="DefaultParagraphFont"/>
    <w:uiPriority w:val="21"/>
    <w:qFormat/>
    <w:rsid w:val="00FA43E0"/>
    <w:rPr>
      <w:b/>
      <w:i/>
      <w:iCs/>
      <w:color w:val="auto"/>
    </w:rPr>
  </w:style>
  <w:style w:type="character" w:styleId="Strong">
    <w:name w:val="Strong"/>
    <w:basedOn w:val="DefaultParagraphFont"/>
    <w:uiPriority w:val="22"/>
    <w:qFormat/>
    <w:rsid w:val="00FA43E0"/>
    <w:rPr>
      <w:b/>
      <w:bCs/>
    </w:rPr>
  </w:style>
  <w:style w:type="character" w:styleId="Emphasis">
    <w:name w:val="Emphasis"/>
    <w:basedOn w:val="DefaultParagraphFont"/>
    <w:uiPriority w:val="20"/>
    <w:qFormat/>
    <w:rsid w:val="00FA43E0"/>
    <w:rPr>
      <w:i/>
      <w:iCs/>
    </w:rPr>
  </w:style>
  <w:style w:type="character" w:customStyle="1" w:styleId="Heading5Char">
    <w:name w:val="Heading 5 Char"/>
    <w:basedOn w:val="DefaultParagraphFont"/>
    <w:link w:val="Heading5"/>
    <w:uiPriority w:val="9"/>
    <w:semiHidden/>
    <w:rsid w:val="00FA43E0"/>
    <w:rPr>
      <w:rFonts w:asciiTheme="majorHAnsi" w:eastAsiaTheme="majorEastAsia" w:hAnsiTheme="majorHAnsi" w:cstheme="majorBidi"/>
      <w:i/>
      <w:color w:val="365F91" w:themeColor="accent1" w:themeShade="BF"/>
    </w:rPr>
  </w:style>
  <w:style w:type="paragraph" w:styleId="Header">
    <w:name w:val="header"/>
    <w:basedOn w:val="Normal"/>
    <w:link w:val="HeaderChar"/>
    <w:uiPriority w:val="99"/>
    <w:unhideWhenUsed/>
    <w:rsid w:val="00FA43E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A43E0"/>
    <w:rPr>
      <w:rFonts w:ascii="Calibri" w:hAnsi="Calibri"/>
      <w:color w:val="404040" w:themeColor="text1" w:themeTint="BF"/>
    </w:rPr>
  </w:style>
  <w:style w:type="paragraph" w:styleId="Footer">
    <w:name w:val="footer"/>
    <w:basedOn w:val="Normal"/>
    <w:link w:val="FooterChar"/>
    <w:uiPriority w:val="99"/>
    <w:unhideWhenUsed/>
    <w:rsid w:val="00FA43E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A43E0"/>
    <w:rPr>
      <w:rFonts w:ascii="Calibri" w:hAnsi="Calibri"/>
      <w:color w:val="404040" w:themeColor="text1" w:themeTint="BF"/>
    </w:rPr>
  </w:style>
  <w:style w:type="paragraph" w:styleId="BalloonText">
    <w:name w:val="Balloon Text"/>
    <w:basedOn w:val="Normal"/>
    <w:link w:val="BalloonTextChar"/>
    <w:uiPriority w:val="99"/>
    <w:semiHidden/>
    <w:unhideWhenUsed/>
    <w:rsid w:val="00FA43E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3E0"/>
    <w:rPr>
      <w:rFonts w:ascii="Tahoma" w:hAnsi="Tahoma" w:cs="Tahoma"/>
      <w:color w:val="404040" w:themeColor="text1" w:themeTint="BF"/>
      <w:sz w:val="16"/>
      <w:szCs w:val="16"/>
    </w:rPr>
  </w:style>
  <w:style w:type="paragraph" w:customStyle="1" w:styleId="AlphaList1">
    <w:name w:val="Alpha List 1"/>
    <w:basedOn w:val="Normal"/>
    <w:qFormat/>
    <w:rsid w:val="00FA43E0"/>
    <w:pPr>
      <w:numPr>
        <w:numId w:val="3"/>
      </w:numPr>
    </w:pPr>
    <w:rPr>
      <w:lang w:val="en-US"/>
    </w:rPr>
  </w:style>
  <w:style w:type="paragraph" w:customStyle="1" w:styleId="AlphaList2">
    <w:name w:val="Alpha List 2"/>
    <w:basedOn w:val="Normal"/>
    <w:qFormat/>
    <w:rsid w:val="00FA43E0"/>
    <w:pPr>
      <w:numPr>
        <w:ilvl w:val="1"/>
        <w:numId w:val="3"/>
      </w:numPr>
    </w:pPr>
    <w:rPr>
      <w:lang w:val="en-US"/>
    </w:rPr>
  </w:style>
  <w:style w:type="paragraph" w:customStyle="1" w:styleId="AlphaList3">
    <w:name w:val="Alpha List 3"/>
    <w:basedOn w:val="Normal"/>
    <w:qFormat/>
    <w:rsid w:val="00FA43E0"/>
    <w:pPr>
      <w:numPr>
        <w:ilvl w:val="2"/>
        <w:numId w:val="3"/>
      </w:numPr>
    </w:pPr>
    <w:rPr>
      <w:lang w:val="en-US"/>
    </w:rPr>
  </w:style>
  <w:style w:type="numbering" w:customStyle="1" w:styleId="AlphaLists">
    <w:name w:val="Alpha Lists"/>
    <w:uiPriority w:val="99"/>
    <w:rsid w:val="00FA43E0"/>
    <w:pPr>
      <w:numPr>
        <w:numId w:val="3"/>
      </w:numPr>
    </w:pPr>
  </w:style>
  <w:style w:type="character" w:customStyle="1" w:styleId="ColourGold">
    <w:name w:val="Colour: Gold"/>
    <w:basedOn w:val="DefaultParagraphFont"/>
    <w:uiPriority w:val="1"/>
    <w:qFormat/>
    <w:rsid w:val="00FA43E0"/>
    <w:rPr>
      <w:color w:val="947246"/>
      <w:lang w:val="en-US"/>
    </w:rPr>
  </w:style>
  <w:style w:type="paragraph" w:customStyle="1" w:styleId="DocumentGroup">
    <w:name w:val="Document Group"/>
    <w:basedOn w:val="Title"/>
    <w:qFormat/>
    <w:rsid w:val="00FA43E0"/>
    <w:pPr>
      <w:spacing w:before="0" w:after="1000" w:line="340" w:lineRule="atLeast"/>
    </w:pPr>
    <w:rPr>
      <w:color w:val="FFFFFF" w:themeColor="background1"/>
      <w:sz w:val="28"/>
      <w:lang w:val="en-US"/>
    </w:rPr>
  </w:style>
  <w:style w:type="paragraph" w:styleId="BodyText">
    <w:name w:val="Body Text"/>
    <w:aliases w:val="Body Text*"/>
    <w:basedOn w:val="Normal"/>
    <w:link w:val="BodyTextChar"/>
    <w:rsid w:val="00FA43E0"/>
    <w:pPr>
      <w:suppressAutoHyphens w:val="0"/>
      <w:spacing w:before="0" w:after="0" w:line="360" w:lineRule="auto"/>
      <w:jc w:val="both"/>
    </w:pPr>
    <w:rPr>
      <w:rFonts w:ascii="Arial" w:eastAsia="Times New Roman" w:hAnsi="Arial" w:cs="Times New Roman"/>
      <w:color w:val="auto"/>
      <w:szCs w:val="20"/>
    </w:rPr>
  </w:style>
  <w:style w:type="character" w:customStyle="1" w:styleId="BodyTextChar">
    <w:name w:val="Body Text Char"/>
    <w:aliases w:val="Body Text* Char"/>
    <w:basedOn w:val="DefaultParagraphFont"/>
    <w:link w:val="BodyText"/>
    <w:rsid w:val="00FA43E0"/>
    <w:rPr>
      <w:rFonts w:ascii="Arial" w:eastAsia="Times New Roman" w:hAnsi="Arial" w:cs="Times New Roman"/>
      <w:szCs w:val="20"/>
    </w:rPr>
  </w:style>
  <w:style w:type="paragraph" w:styleId="ListParagraph">
    <w:name w:val="List Paragraph"/>
    <w:basedOn w:val="Normal"/>
    <w:uiPriority w:val="34"/>
    <w:qFormat/>
    <w:rsid w:val="00FA43E0"/>
    <w:pPr>
      <w:suppressAutoHyphens w:val="0"/>
      <w:spacing w:before="0" w:after="0" w:line="240" w:lineRule="auto"/>
      <w:ind w:left="720"/>
      <w:contextualSpacing/>
    </w:pPr>
    <w:rPr>
      <w:rFonts w:ascii="Arial" w:eastAsia="Times New Roman" w:hAnsi="Arial" w:cs="Times New Roman"/>
      <w:color w:val="auto"/>
      <w:szCs w:val="20"/>
    </w:rPr>
  </w:style>
  <w:style w:type="paragraph" w:customStyle="1" w:styleId="Body">
    <w:name w:val="Body"/>
    <w:basedOn w:val="Normal"/>
    <w:rsid w:val="00522AE0"/>
    <w:pPr>
      <w:suppressAutoHyphens w:val="0"/>
      <w:spacing w:before="0" w:after="0" w:line="240" w:lineRule="auto"/>
      <w:jc w:val="both"/>
    </w:pPr>
    <w:rPr>
      <w:rFonts w:ascii="Arial" w:eastAsia="Times New Roman" w:hAnsi="Arial" w:cs="Times New Roman"/>
      <w:color w:val="auto"/>
      <w:szCs w:val="20"/>
      <w:lang w:val="en-US"/>
    </w:rPr>
  </w:style>
  <w:style w:type="paragraph" w:styleId="FootnoteText">
    <w:name w:val="footnote text"/>
    <w:basedOn w:val="Normal"/>
    <w:link w:val="FootnoteTextChar"/>
    <w:uiPriority w:val="99"/>
    <w:unhideWhenUsed/>
    <w:rsid w:val="00FA43E0"/>
    <w:pPr>
      <w:spacing w:before="0" w:after="0" w:line="240" w:lineRule="auto"/>
    </w:pPr>
    <w:rPr>
      <w:sz w:val="20"/>
      <w:szCs w:val="20"/>
    </w:rPr>
  </w:style>
  <w:style w:type="character" w:customStyle="1" w:styleId="FootnoteTextChar">
    <w:name w:val="Footnote Text Char"/>
    <w:basedOn w:val="DefaultParagraphFont"/>
    <w:link w:val="FootnoteText"/>
    <w:uiPriority w:val="99"/>
    <w:rsid w:val="00FA43E0"/>
    <w:rPr>
      <w:rFonts w:ascii="Calibri" w:hAnsi="Calibri"/>
      <w:color w:val="404040" w:themeColor="text1" w:themeTint="BF"/>
      <w:sz w:val="20"/>
      <w:szCs w:val="20"/>
    </w:rPr>
  </w:style>
  <w:style w:type="character" w:styleId="FootnoteReference">
    <w:name w:val="footnote reference"/>
    <w:basedOn w:val="DefaultParagraphFont"/>
    <w:uiPriority w:val="99"/>
    <w:unhideWhenUsed/>
    <w:rsid w:val="00FA43E0"/>
    <w:rPr>
      <w:vertAlign w:val="superscript"/>
    </w:rPr>
  </w:style>
  <w:style w:type="character" w:styleId="CommentReference">
    <w:name w:val="annotation reference"/>
    <w:basedOn w:val="DefaultParagraphFont"/>
    <w:uiPriority w:val="99"/>
    <w:semiHidden/>
    <w:unhideWhenUsed/>
    <w:rsid w:val="00FA43E0"/>
    <w:rPr>
      <w:sz w:val="16"/>
      <w:szCs w:val="16"/>
    </w:rPr>
  </w:style>
  <w:style w:type="paragraph" w:styleId="CommentText">
    <w:name w:val="annotation text"/>
    <w:basedOn w:val="Normal"/>
    <w:link w:val="CommentTextChar"/>
    <w:uiPriority w:val="99"/>
    <w:semiHidden/>
    <w:unhideWhenUsed/>
    <w:rsid w:val="00FA43E0"/>
    <w:pPr>
      <w:spacing w:line="240" w:lineRule="auto"/>
    </w:pPr>
    <w:rPr>
      <w:sz w:val="20"/>
      <w:szCs w:val="20"/>
    </w:rPr>
  </w:style>
  <w:style w:type="character" w:customStyle="1" w:styleId="CommentTextChar">
    <w:name w:val="Comment Text Char"/>
    <w:basedOn w:val="DefaultParagraphFont"/>
    <w:link w:val="CommentText"/>
    <w:uiPriority w:val="99"/>
    <w:semiHidden/>
    <w:rsid w:val="00FA43E0"/>
    <w:rPr>
      <w:rFonts w:ascii="Calibri" w:hAnsi="Calibri"/>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FA43E0"/>
    <w:rPr>
      <w:b/>
      <w:bCs/>
    </w:rPr>
  </w:style>
  <w:style w:type="character" w:customStyle="1" w:styleId="CommentSubjectChar">
    <w:name w:val="Comment Subject Char"/>
    <w:basedOn w:val="CommentTextChar"/>
    <w:link w:val="CommentSubject"/>
    <w:uiPriority w:val="99"/>
    <w:semiHidden/>
    <w:rsid w:val="00FA43E0"/>
    <w:rPr>
      <w:rFonts w:ascii="Calibri" w:hAnsi="Calibri"/>
      <w:b/>
      <w:bCs/>
      <w:color w:val="404040" w:themeColor="text1" w:themeTint="BF"/>
      <w:sz w:val="20"/>
      <w:szCs w:val="20"/>
    </w:rPr>
  </w:style>
  <w:style w:type="paragraph" w:styleId="Revision">
    <w:name w:val="Revision"/>
    <w:hidden/>
    <w:uiPriority w:val="99"/>
    <w:semiHidden/>
    <w:rsid w:val="00DB63E9"/>
    <w:pPr>
      <w:spacing w:after="0" w:line="240" w:lineRule="auto"/>
    </w:pPr>
    <w:rPr>
      <w:rFonts w:ascii="Calibri" w:hAnsi="Calibri"/>
      <w:color w:val="404040" w:themeColor="text1" w:themeTint="BF"/>
    </w:rPr>
  </w:style>
  <w:style w:type="paragraph" w:styleId="BodyText2">
    <w:name w:val="Body Text 2"/>
    <w:basedOn w:val="Normal"/>
    <w:link w:val="BodyText2Char"/>
    <w:uiPriority w:val="99"/>
    <w:unhideWhenUsed/>
    <w:rsid w:val="00FA43E0"/>
    <w:pPr>
      <w:suppressAutoHyphens w:val="0"/>
      <w:spacing w:before="0" w:after="120" w:line="480" w:lineRule="auto"/>
    </w:pPr>
    <w:rPr>
      <w:rFonts w:ascii="Arial" w:eastAsia="Times New Roman" w:hAnsi="Arial" w:cs="Times New Roman"/>
      <w:color w:val="auto"/>
      <w:szCs w:val="20"/>
    </w:rPr>
  </w:style>
  <w:style w:type="character" w:customStyle="1" w:styleId="BodyText2Char">
    <w:name w:val="Body Text 2 Char"/>
    <w:basedOn w:val="DefaultParagraphFont"/>
    <w:link w:val="BodyText2"/>
    <w:uiPriority w:val="99"/>
    <w:rsid w:val="00FA43E0"/>
    <w:rPr>
      <w:rFonts w:ascii="Arial" w:eastAsia="Times New Roman" w:hAnsi="Arial" w:cs="Times New Roman"/>
      <w:szCs w:val="20"/>
    </w:rPr>
  </w:style>
  <w:style w:type="character" w:styleId="EndnoteReference">
    <w:name w:val="endnote reference"/>
    <w:uiPriority w:val="99"/>
    <w:semiHidden/>
    <w:unhideWhenUsed/>
    <w:rsid w:val="00FA43E0"/>
    <w:rPr>
      <w:vertAlign w:val="superscript"/>
    </w:rPr>
  </w:style>
  <w:style w:type="paragraph" w:styleId="EndnoteText">
    <w:name w:val="endnote text"/>
    <w:basedOn w:val="Normal"/>
    <w:link w:val="EndnoteTextChar"/>
    <w:uiPriority w:val="99"/>
    <w:semiHidden/>
    <w:unhideWhenUsed/>
    <w:rsid w:val="00FA43E0"/>
    <w:pPr>
      <w:suppressAutoHyphens w:val="0"/>
      <w:spacing w:before="0" w:after="0" w:line="240" w:lineRule="auto"/>
    </w:pPr>
    <w:rPr>
      <w:rFonts w:ascii="Arial" w:eastAsia="Times New Roman" w:hAnsi="Arial" w:cs="Times New Roman"/>
      <w:color w:val="auto"/>
      <w:sz w:val="20"/>
      <w:szCs w:val="20"/>
    </w:rPr>
  </w:style>
  <w:style w:type="character" w:customStyle="1" w:styleId="EndnoteTextChar">
    <w:name w:val="Endnote Text Char"/>
    <w:basedOn w:val="DefaultParagraphFont"/>
    <w:link w:val="EndnoteText"/>
    <w:uiPriority w:val="99"/>
    <w:semiHidden/>
    <w:rsid w:val="00FA43E0"/>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FA43E0"/>
    <w:rPr>
      <w:color w:val="800080" w:themeColor="followedHyperlink"/>
      <w:u w:val="single"/>
    </w:rPr>
  </w:style>
  <w:style w:type="paragraph" w:styleId="NoSpacing">
    <w:name w:val="No Spacing"/>
    <w:uiPriority w:val="1"/>
    <w:qFormat/>
    <w:rsid w:val="00FA43E0"/>
    <w:pPr>
      <w:spacing w:after="0" w:line="240" w:lineRule="auto"/>
    </w:pPr>
    <w:rPr>
      <w:rFonts w:ascii="Arial" w:eastAsia="Calibri" w:hAnsi="Arial" w:cs="Arial"/>
    </w:rPr>
  </w:style>
  <w:style w:type="paragraph" w:customStyle="1" w:styleId="NumberedList2">
    <w:name w:val="Numbered List 2"/>
    <w:basedOn w:val="NumberedList1"/>
    <w:qFormat/>
    <w:rsid w:val="00FA43E0"/>
    <w:pPr>
      <w:numPr>
        <w:ilvl w:val="1"/>
      </w:numPr>
      <w:ind w:left="426" w:hanging="284"/>
    </w:pPr>
  </w:style>
  <w:style w:type="table" w:customStyle="1" w:styleId="Report-Table1">
    <w:name w:val="Report-Table1"/>
    <w:basedOn w:val="TableNormal"/>
    <w:next w:val="TableGrid"/>
    <w:uiPriority w:val="59"/>
    <w:rsid w:val="00FA43E0"/>
    <w:pPr>
      <w:spacing w:after="0" w:line="240" w:lineRule="auto"/>
    </w:pPr>
    <w:rPr>
      <w:rFonts w:ascii="Calibri" w:eastAsia="Calibri" w:hAnsi="Calibri" w:cs="Times New Roman"/>
      <w:color w:val="404040"/>
    </w:rPr>
    <w:tblP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top w:w="28" w:type="dxa"/>
        <w:left w:w="28" w:type="dxa"/>
        <w:bottom w:w="28" w:type="dxa"/>
        <w:right w:w="28" w:type="dxa"/>
      </w:tblCellMar>
    </w:tblPr>
    <w:tblStylePr w:type="firstRow">
      <w:rPr>
        <w:rFonts w:ascii="Calibri" w:hAnsi="Calibri" w:hint="default"/>
        <w:sz w:val="22"/>
        <w:szCs w:val="22"/>
      </w:rPr>
      <w:tblPr/>
      <w:tcPr>
        <w:shd w:val="clear" w:color="auto" w:fill="D9D9D9"/>
      </w:tcPr>
    </w:tblStylePr>
  </w:style>
  <w:style w:type="paragraph" w:customStyle="1" w:styleId="Style1">
    <w:name w:val="Style1"/>
    <w:basedOn w:val="TOC1"/>
    <w:next w:val="TOC1"/>
    <w:link w:val="Style1Char"/>
    <w:qFormat/>
    <w:rsid w:val="00FA43E0"/>
    <w:pPr>
      <w:tabs>
        <w:tab w:val="left" w:pos="440"/>
        <w:tab w:val="left" w:pos="1305"/>
        <w:tab w:val="right" w:leader="dot" w:pos="9016"/>
      </w:tabs>
      <w:suppressAutoHyphens w:val="0"/>
      <w:spacing w:before="0" w:line="276" w:lineRule="auto"/>
    </w:pPr>
    <w:rPr>
      <w:rFonts w:ascii="Arial" w:eastAsia="Times New Roman" w:hAnsi="Arial" w:cs="Arial"/>
      <w:noProof/>
      <w:color w:val="000000"/>
      <w:lang w:val="en-US"/>
    </w:rPr>
  </w:style>
  <w:style w:type="character" w:customStyle="1" w:styleId="Style1Char">
    <w:name w:val="Style1 Char"/>
    <w:link w:val="Style1"/>
    <w:rsid w:val="00FA43E0"/>
    <w:rPr>
      <w:rFonts w:ascii="Arial" w:eastAsia="Times New Roman" w:hAnsi="Arial" w:cs="Arial"/>
      <w:noProof/>
      <w:color w:val="000000"/>
      <w:lang w:val="en-US"/>
    </w:rPr>
  </w:style>
  <w:style w:type="paragraph" w:customStyle="1" w:styleId="Default">
    <w:name w:val="Default"/>
    <w:rsid w:val="00AB43E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24FE5"/>
    <w:rPr>
      <w:color w:val="605E5C"/>
      <w:shd w:val="clear" w:color="auto" w:fill="E1DFDD"/>
    </w:rPr>
  </w:style>
  <w:style w:type="paragraph" w:customStyle="1" w:styleId="PROSSERVICEHEADING">
    <w:name w:val="PROS SERVICE HEADING"/>
    <w:basedOn w:val="Heading2"/>
    <w:qFormat/>
    <w:rsid w:val="00824FE5"/>
    <w:pPr>
      <w:spacing w:line="276" w:lineRule="auto"/>
      <w:ind w:left="567" w:hanging="567"/>
    </w:pPr>
  </w:style>
  <w:style w:type="paragraph" w:customStyle="1" w:styleId="Prosservicesbody">
    <w:name w:val="Pros services body"/>
    <w:basedOn w:val="NumberedList1"/>
    <w:qFormat/>
    <w:rsid w:val="00824FE5"/>
    <w:pPr>
      <w:spacing w:line="276" w:lineRule="auto"/>
      <w:ind w:left="567" w:hanging="567"/>
      <w:jc w:val="both"/>
    </w:pPr>
  </w:style>
  <w:style w:type="paragraph" w:customStyle="1" w:styleId="NLDbody">
    <w:name w:val="NLD body"/>
    <w:basedOn w:val="NumberedList1"/>
    <w:qFormat/>
    <w:rsid w:val="002A0EB5"/>
    <w:pPr>
      <w:numPr>
        <w:numId w:val="12"/>
      </w:numPr>
      <w:tabs>
        <w:tab w:val="left" w:pos="720"/>
      </w:tabs>
      <w:spacing w:line="276" w:lineRule="auto"/>
      <w:ind w:left="567"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154524">
      <w:bodyDiv w:val="1"/>
      <w:marLeft w:val="0"/>
      <w:marRight w:val="0"/>
      <w:marTop w:val="0"/>
      <w:marBottom w:val="0"/>
      <w:divBdr>
        <w:top w:val="none" w:sz="0" w:space="0" w:color="auto"/>
        <w:left w:val="none" w:sz="0" w:space="0" w:color="auto"/>
        <w:bottom w:val="none" w:sz="0" w:space="0" w:color="auto"/>
        <w:right w:val="none" w:sz="0" w:space="0" w:color="auto"/>
      </w:divBdr>
    </w:div>
    <w:div w:id="19959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dpp.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libcat.dppnet/firstRMS/fullRecord.jsp?recnoListAttr=recnoList&amp;recno=27327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ibcat.dppnet/firstRMS/fullRecord.jsp?recnoListAttr=recnoList&amp;recno=27327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ibcat.dppnet/firstRMS/fullRecord.jsp?recnoListAttr=recnoList&amp;recno=14571"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bcat.dppnet/firstRMS/fullRecord.jsp?recno=29014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cat.dppnet/firstRMS/fullRecord.jsp?recnoListAttr=recnoList&amp;recno=256969" TargetMode="External"/><Relationship Id="rId2" Type="http://schemas.openxmlformats.org/officeDocument/2006/relationships/hyperlink" Target="http://documents.dppnet/Library/GDManual/Current/Advisory%20Role.doc" TargetMode="External"/><Relationship Id="rId1" Type="http://schemas.openxmlformats.org/officeDocument/2006/relationships/hyperlink" Target="http://libcat.dppnet/firstRMS/fullRecord.jsp?recnoListAttr=recnoList&amp;recno=145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SD -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8F73F1CCF0F41AF5E83667062EF47" ma:contentTypeVersion="2" ma:contentTypeDescription="Create a new document." ma:contentTypeScope="" ma:versionID="414207eec40db3a3cb4b48210f094b06">
  <xsd:schema xmlns:xsd="http://www.w3.org/2001/XMLSchema" xmlns:xs="http://www.w3.org/2001/XMLSchema" xmlns:p="http://schemas.microsoft.com/office/2006/metadata/properties" xmlns:ns1="http://schemas.microsoft.com/sharepoint/v3" xmlns:ns2="452c4ca3-ae30-4cd8-8a27-e2f3b2cbfa07" xmlns:ns3="c7b8c0ee-4cfa-4eee-872f-c2b2b46981d2" targetNamespace="http://schemas.microsoft.com/office/2006/metadata/properties" ma:root="true" ma:fieldsID="74664eb9a83f87ed35815021e388d4e3" ns1:_="" ns2:_="" ns3:_="">
    <xsd:import namespace="http://schemas.microsoft.com/sharepoint/v3"/>
    <xsd:import namespace="452c4ca3-ae30-4cd8-8a27-e2f3b2cbfa07"/>
    <xsd:import namespace="c7b8c0ee-4cfa-4eee-872f-c2b2b46981d2"/>
    <xsd:element name="properties">
      <xsd:complexType>
        <xsd:sequence>
          <xsd:element name="documentManagement">
            <xsd:complexType>
              <xsd:all>
                <xsd:element ref="ns1:PublishingStartDate" minOccurs="0"/>
                <xsd:element ref="ns1:PublishingExpirationDate" minOccurs="0"/>
                <xsd:element ref="ns2:Agenda_x0020_Item"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2c4ca3-ae30-4cd8-8a27-e2f3b2cbfa07" elementFormDefault="qualified">
    <xsd:import namespace="http://schemas.microsoft.com/office/2006/documentManagement/types"/>
    <xsd:import namespace="http://schemas.microsoft.com/office/infopath/2007/PartnerControls"/>
    <xsd:element name="Agenda_x0020_Item" ma:index="10" nillable="true" ma:displayName="Agenda Item" ma:format="Dropdown" ma:internalName="Agenda_x0020_Item">
      <xsd:simpleType>
        <xsd:union memberTypes="dms:Text">
          <xsd:simpleType>
            <xsd:restriction base="dms:Choice">
              <xsd:enumeration value="01"/>
              <xsd:enumeration value="01a"/>
              <xsd:enumeration value="02"/>
              <xsd:enumeration value="03"/>
              <xsd:enumeration value="04"/>
              <xsd:enumeration value="05"/>
              <xsd:enumeration value="06"/>
              <xsd:enumeration value="07"/>
              <xsd:enumeration value="07a"/>
              <xsd:enumeration value="08"/>
              <xsd:enumeration value="09"/>
              <xsd:enumeration value="10"/>
              <xsd:enumeration value="11"/>
              <xsd:enumeration value="12"/>
              <xsd:enumeration value="1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b8c0ee-4cfa-4eee-872f-c2b2b46981d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_x0020_Item xmlns="452c4ca3-ae30-4cd8-8a27-e2f3b2cbfa07" xsi:nil="true"/>
    <PublishingExpirationDate xmlns="http://schemas.microsoft.com/sharepoint/v3" xsi:nil="true"/>
    <PublishingStartDate xmlns="http://schemas.microsoft.com/sharepoint/v3" xsi:nil="true"/>
    <_dlc_DocId xmlns="c7b8c0ee-4cfa-4eee-872f-c2b2b46981d2" xsi:nil="true"/>
    <_dlc_DocIdUrl xmlns="c7b8c0ee-4cfa-4eee-872f-c2b2b46981d2">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FF5B6-5D8A-4C01-A024-815A98FFB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c4ca3-ae30-4cd8-8a27-e2f3b2cbfa07"/>
    <ds:schemaRef ds:uri="c7b8c0ee-4cfa-4eee-872f-c2b2b4698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B66C9-A4FE-4E19-9E6F-22C859A8E47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452c4ca3-ae30-4cd8-8a27-e2f3b2cbfa07"/>
    <ds:schemaRef ds:uri="http://schemas.microsoft.com/office/infopath/2007/PartnerControls"/>
    <ds:schemaRef ds:uri="c7b8c0ee-4cfa-4eee-872f-c2b2b46981d2"/>
    <ds:schemaRef ds:uri="http://www.w3.org/XML/1998/namespace"/>
    <ds:schemaRef ds:uri="http://purl.org/dc/dcmitype/"/>
  </ds:schemaRefs>
</ds:datastoreItem>
</file>

<file path=customXml/itemProps3.xml><?xml version="1.0" encoding="utf-8"?>
<ds:datastoreItem xmlns:ds="http://schemas.openxmlformats.org/officeDocument/2006/customXml" ds:itemID="{E8F20000-C5D4-4C8D-AFFD-04E8B7803928}">
  <ds:schemaRefs>
    <ds:schemaRef ds:uri="http://schemas.microsoft.com/sharepoint/v3/contenttype/forms"/>
  </ds:schemaRefs>
</ds:datastoreItem>
</file>

<file path=customXml/itemProps4.xml><?xml version="1.0" encoding="utf-8"?>
<ds:datastoreItem xmlns:ds="http://schemas.openxmlformats.org/officeDocument/2006/customXml" ds:itemID="{CB565083-6D07-44EC-B4F5-F0E169A49DC2}">
  <ds:schemaRefs>
    <ds:schemaRef ds:uri="http://schemas.microsoft.com/sharepoint/events"/>
  </ds:schemaRefs>
</ds:datastoreItem>
</file>

<file path=customXml/itemProps5.xml><?xml version="1.0" encoding="utf-8"?>
<ds:datastoreItem xmlns:ds="http://schemas.openxmlformats.org/officeDocument/2006/customXml" ds:itemID="{4B852EE4-7938-4E19-8F2D-9192FA2B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National Legal Direction (NLD): Prosecution Services for Partner Agencies</vt:lpstr>
    </vt:vector>
  </TitlesOfParts>
  <Company>Commonwealth DPP</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Legal Direction (NLD): Prosecution Services for Partner Agencies</dc:title>
  <dc:subject>CDPP Prosecution Services</dc:subject>
  <dc:creator>Commonwealth DPP</dc:creator>
  <cp:keywords>NLD;</cp:keywords>
  <cp:lastModifiedBy>Baxter Emily</cp:lastModifiedBy>
  <cp:revision>9</cp:revision>
  <cp:lastPrinted>2016-09-22T03:55:00Z</cp:lastPrinted>
  <dcterms:created xsi:type="dcterms:W3CDTF">2021-01-12T00:21:00Z</dcterms:created>
  <dcterms:modified xsi:type="dcterms:W3CDTF">2021-01-18T04:48:00Z</dcterms:modified>
  <cp:category>In House Materials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Type">
    <vt:lpwstr>National Legal Direction; NLD</vt:lpwstr>
  </property>
  <property fmtid="{D5CDD505-2E9C-101B-9397-08002B2CF9AE}" pid="3" name="Source">
    <vt:lpwstr>Commonwealth DPP</vt:lpwstr>
  </property>
  <property fmtid="{D5CDD505-2E9C-101B-9397-08002B2CF9AE}" pid="4" name="PM_SecurityClassification">
    <vt:lpwstr>UNCLASSIFIED</vt:lpwstr>
  </property>
  <property fmtid="{D5CDD505-2E9C-101B-9397-08002B2CF9AE}" pid="5" name="PM_Qualifier">
    <vt:lpwstr/>
  </property>
  <property fmtid="{D5CDD505-2E9C-101B-9397-08002B2CF9AE}" pid="6" name="PM_DisplayValueSecClassificationWithQualifier">
    <vt:lpwstr>UNCLASSIFIED</vt:lpwstr>
  </property>
  <property fmtid="{D5CDD505-2E9C-101B-9397-08002B2CF9AE}" pid="7" name="PM_InsertionValue">
    <vt:lpwstr>UNCLASSIFIED</vt:lpwstr>
  </property>
  <property fmtid="{D5CDD505-2E9C-101B-9397-08002B2CF9AE}" pid="8" name="PM_Originator_Hash_SHA1">
    <vt:lpwstr>9C4B013AA0F79C2F75E53BA8714A3E6055890295</vt:lpwstr>
  </property>
  <property fmtid="{D5CDD505-2E9C-101B-9397-08002B2CF9AE}" pid="9" name="PM_Hash_Version">
    <vt:lpwstr>2012.2</vt:lpwstr>
  </property>
  <property fmtid="{D5CDD505-2E9C-101B-9397-08002B2CF9AE}" pid="10" name="PM_Hash_Salt">
    <vt:lpwstr>0D905F3DBBA13F065B65C97BAA98E1FC</vt:lpwstr>
  </property>
  <property fmtid="{D5CDD505-2E9C-101B-9397-08002B2CF9AE}" pid="11" name="PM_Hash_SHA1">
    <vt:lpwstr>F49F478129ACA5846FC2950F998D6B97153AAC98</vt:lpwstr>
  </property>
</Properties>
</file>