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BE44" w14:textId="07171E42" w:rsidR="001E4730" w:rsidRDefault="00940E6B" w:rsidP="00940E6B">
      <w:pPr>
        <w:pStyle w:val="DocumentGroup"/>
      </w:pPr>
      <w:r>
        <w:t>National Legal Directions</w:t>
      </w:r>
    </w:p>
    <w:p w14:paraId="3118A757" w14:textId="50DE2D40" w:rsidR="00A811E8" w:rsidRPr="00FC496D" w:rsidRDefault="00ED5AA9" w:rsidP="00A01CA5">
      <w:pPr>
        <w:pStyle w:val="Title"/>
        <w:ind w:right="95"/>
      </w:pPr>
      <w:r>
        <w:t>Pre</w:t>
      </w:r>
      <w:r w:rsidR="00874FA3">
        <w:t>-</w:t>
      </w:r>
      <w:r>
        <w:t>Brief Advice</w:t>
      </w:r>
    </w:p>
    <w:p w14:paraId="4C0951E5" w14:textId="78349C09" w:rsidR="007E6C51" w:rsidRDefault="00A811E8" w:rsidP="00940E6B">
      <w:pPr>
        <w:pStyle w:val="Subtitle"/>
        <w:ind w:right="120"/>
      </w:pPr>
      <w:r w:rsidRPr="00FC496D">
        <w:t>Last Update:</w:t>
      </w:r>
      <w:r>
        <w:t xml:space="preserve"> </w:t>
      </w:r>
      <w:r w:rsidR="00081CCD">
        <w:t>May 2021</w:t>
      </w:r>
    </w:p>
    <w:p w14:paraId="3541E1DB" w14:textId="77777777" w:rsidR="00743FA6" w:rsidRPr="001E4730" w:rsidRDefault="00743FA6" w:rsidP="003107AA">
      <w:pPr>
        <w:pStyle w:val="TOC3"/>
        <w:ind w:left="0" w:firstLine="0"/>
        <w:rPr>
          <w:rFonts w:eastAsiaTheme="minorEastAsia" w:cstheme="minorBidi"/>
          <w:noProof/>
          <w:lang w:val="en-AU" w:eastAsia="en-AU"/>
        </w:rPr>
      </w:pPr>
      <w:r w:rsidRPr="001E4730">
        <w:t>Contents</w:t>
      </w:r>
    </w:p>
    <w:p w14:paraId="4F3DE6A9" w14:textId="77777777" w:rsidR="00743FA6" w:rsidRPr="00743FA6" w:rsidRDefault="00743FA6" w:rsidP="003107AA">
      <w:pPr>
        <w:pStyle w:val="TOC3"/>
        <w:rPr>
          <w:noProof/>
          <w:lang w:eastAsia="en-AU"/>
        </w:rPr>
      </w:pPr>
    </w:p>
    <w:bookmarkStart w:id="0" w:name="_Toc48739694"/>
    <w:bookmarkStart w:id="1" w:name="_Toc48739829"/>
    <w:bookmarkEnd w:id="0"/>
    <w:bookmarkEnd w:id="1"/>
    <w:p w14:paraId="0AA84BF6" w14:textId="5C453DD6" w:rsidR="000B4081" w:rsidRDefault="00ED5AA9">
      <w:pPr>
        <w:pStyle w:val="TOC2"/>
        <w:rPr>
          <w:rFonts w:eastAsiaTheme="minorEastAsia" w:cstheme="minorBidi"/>
          <w:noProof/>
          <w:lang w:val="en-AU" w:eastAsia="en-AU"/>
        </w:rPr>
      </w:pPr>
      <w:r>
        <w:rPr>
          <w:rFonts w:cstheme="minorHAnsi"/>
        </w:rPr>
        <w:fldChar w:fldCharType="begin"/>
      </w:r>
      <w:r>
        <w:instrText xml:space="preserve"> TOC \o "1-3" \h \z \u </w:instrText>
      </w:r>
      <w:r>
        <w:rPr>
          <w:rFonts w:cstheme="minorHAnsi"/>
        </w:rPr>
        <w:fldChar w:fldCharType="separate"/>
      </w:r>
      <w:hyperlink w:anchor="_Toc70325312" w:history="1">
        <w:r w:rsidR="000B4081" w:rsidRPr="00531367">
          <w:rPr>
            <w:rStyle w:val="Hyperlink"/>
            <w:noProof/>
          </w:rPr>
          <w:t>Background</w:t>
        </w:r>
        <w:r w:rsidR="000B4081">
          <w:rPr>
            <w:noProof/>
            <w:webHidden/>
          </w:rPr>
          <w:tab/>
        </w:r>
        <w:r w:rsidR="000B4081">
          <w:rPr>
            <w:noProof/>
            <w:webHidden/>
          </w:rPr>
          <w:fldChar w:fldCharType="begin"/>
        </w:r>
        <w:r w:rsidR="000B4081">
          <w:rPr>
            <w:noProof/>
            <w:webHidden/>
          </w:rPr>
          <w:instrText xml:space="preserve"> PAGEREF _Toc70325312 \h </w:instrText>
        </w:r>
        <w:r w:rsidR="000B4081">
          <w:rPr>
            <w:noProof/>
            <w:webHidden/>
          </w:rPr>
        </w:r>
        <w:r w:rsidR="000B4081">
          <w:rPr>
            <w:noProof/>
            <w:webHidden/>
          </w:rPr>
          <w:fldChar w:fldCharType="separate"/>
        </w:r>
        <w:r w:rsidR="000B4081">
          <w:rPr>
            <w:noProof/>
            <w:webHidden/>
          </w:rPr>
          <w:t>1</w:t>
        </w:r>
        <w:r w:rsidR="000B4081">
          <w:rPr>
            <w:noProof/>
            <w:webHidden/>
          </w:rPr>
          <w:fldChar w:fldCharType="end"/>
        </w:r>
      </w:hyperlink>
    </w:p>
    <w:p w14:paraId="7576CF2A" w14:textId="6B4268D4" w:rsidR="000B4081" w:rsidRDefault="00AC64E7">
      <w:pPr>
        <w:pStyle w:val="TOC2"/>
        <w:rPr>
          <w:rFonts w:eastAsiaTheme="minorEastAsia" w:cstheme="minorBidi"/>
          <w:noProof/>
          <w:lang w:val="en-AU" w:eastAsia="en-AU"/>
        </w:rPr>
      </w:pPr>
      <w:hyperlink w:anchor="_Toc70325313" w:history="1">
        <w:r w:rsidR="000B4081" w:rsidRPr="00531367">
          <w:rPr>
            <w:rStyle w:val="Hyperlink"/>
            <w:rFonts w:cs="Calibri"/>
            <w:noProof/>
          </w:rPr>
          <w:t>Types of pre-brief advice</w:t>
        </w:r>
        <w:r w:rsidR="000B4081">
          <w:rPr>
            <w:noProof/>
            <w:webHidden/>
          </w:rPr>
          <w:tab/>
        </w:r>
        <w:r w:rsidR="000B4081">
          <w:rPr>
            <w:noProof/>
            <w:webHidden/>
          </w:rPr>
          <w:fldChar w:fldCharType="begin"/>
        </w:r>
        <w:r w:rsidR="000B4081">
          <w:rPr>
            <w:noProof/>
            <w:webHidden/>
          </w:rPr>
          <w:instrText xml:space="preserve"> PAGEREF _Toc70325313 \h </w:instrText>
        </w:r>
        <w:r w:rsidR="000B4081">
          <w:rPr>
            <w:noProof/>
            <w:webHidden/>
          </w:rPr>
        </w:r>
        <w:r w:rsidR="000B4081">
          <w:rPr>
            <w:noProof/>
            <w:webHidden/>
          </w:rPr>
          <w:fldChar w:fldCharType="separate"/>
        </w:r>
        <w:r w:rsidR="000B4081">
          <w:rPr>
            <w:noProof/>
            <w:webHidden/>
          </w:rPr>
          <w:t>2</w:t>
        </w:r>
        <w:r w:rsidR="000B4081">
          <w:rPr>
            <w:noProof/>
            <w:webHidden/>
          </w:rPr>
          <w:fldChar w:fldCharType="end"/>
        </w:r>
      </w:hyperlink>
    </w:p>
    <w:p w14:paraId="69F6844D" w14:textId="0EB6D268" w:rsidR="000B4081" w:rsidRDefault="00AC64E7">
      <w:pPr>
        <w:pStyle w:val="TOC2"/>
        <w:rPr>
          <w:rFonts w:eastAsiaTheme="minorEastAsia" w:cstheme="minorBidi"/>
          <w:noProof/>
          <w:lang w:val="en-AU" w:eastAsia="en-AU"/>
        </w:rPr>
      </w:pPr>
      <w:hyperlink w:anchor="_Toc70325314" w:history="1">
        <w:r w:rsidR="000B4081" w:rsidRPr="00531367">
          <w:rPr>
            <w:rStyle w:val="Hyperlink"/>
            <w:noProof/>
          </w:rPr>
          <w:t>Preparing pre-brief advice</w:t>
        </w:r>
        <w:r w:rsidR="000B4081">
          <w:rPr>
            <w:noProof/>
            <w:webHidden/>
          </w:rPr>
          <w:tab/>
        </w:r>
        <w:r w:rsidR="000B4081">
          <w:rPr>
            <w:noProof/>
            <w:webHidden/>
          </w:rPr>
          <w:fldChar w:fldCharType="begin"/>
        </w:r>
        <w:r w:rsidR="000B4081">
          <w:rPr>
            <w:noProof/>
            <w:webHidden/>
          </w:rPr>
          <w:instrText xml:space="preserve"> PAGEREF _Toc70325314 \h </w:instrText>
        </w:r>
        <w:r w:rsidR="000B4081">
          <w:rPr>
            <w:noProof/>
            <w:webHidden/>
          </w:rPr>
        </w:r>
        <w:r w:rsidR="000B4081">
          <w:rPr>
            <w:noProof/>
            <w:webHidden/>
          </w:rPr>
          <w:fldChar w:fldCharType="separate"/>
        </w:r>
        <w:r w:rsidR="000B4081">
          <w:rPr>
            <w:noProof/>
            <w:webHidden/>
          </w:rPr>
          <w:t>3</w:t>
        </w:r>
        <w:r w:rsidR="000B4081">
          <w:rPr>
            <w:noProof/>
            <w:webHidden/>
          </w:rPr>
          <w:fldChar w:fldCharType="end"/>
        </w:r>
      </w:hyperlink>
    </w:p>
    <w:p w14:paraId="313E7C87" w14:textId="0D19C8CE" w:rsidR="000B4081" w:rsidRDefault="00AC64E7">
      <w:pPr>
        <w:pStyle w:val="TOC2"/>
        <w:rPr>
          <w:rFonts w:eastAsiaTheme="minorEastAsia" w:cstheme="minorBidi"/>
          <w:noProof/>
          <w:lang w:val="en-AU" w:eastAsia="en-AU"/>
        </w:rPr>
      </w:pPr>
      <w:hyperlink w:anchor="_Toc70325315" w:history="1">
        <w:r w:rsidR="000B4081" w:rsidRPr="00531367">
          <w:rPr>
            <w:rStyle w:val="Hyperlink"/>
            <w:noProof/>
          </w:rPr>
          <w:t>Approval by Branch Head</w:t>
        </w:r>
        <w:r w:rsidR="000B4081">
          <w:rPr>
            <w:noProof/>
            <w:webHidden/>
          </w:rPr>
          <w:tab/>
        </w:r>
        <w:r w:rsidR="000B4081">
          <w:rPr>
            <w:noProof/>
            <w:webHidden/>
          </w:rPr>
          <w:fldChar w:fldCharType="begin"/>
        </w:r>
        <w:r w:rsidR="000B4081">
          <w:rPr>
            <w:noProof/>
            <w:webHidden/>
          </w:rPr>
          <w:instrText xml:space="preserve"> PAGEREF _Toc70325315 \h </w:instrText>
        </w:r>
        <w:r w:rsidR="000B4081">
          <w:rPr>
            <w:noProof/>
            <w:webHidden/>
          </w:rPr>
        </w:r>
        <w:r w:rsidR="000B4081">
          <w:rPr>
            <w:noProof/>
            <w:webHidden/>
          </w:rPr>
          <w:fldChar w:fldCharType="separate"/>
        </w:r>
        <w:r w:rsidR="000B4081">
          <w:rPr>
            <w:noProof/>
            <w:webHidden/>
          </w:rPr>
          <w:t>4</w:t>
        </w:r>
        <w:r w:rsidR="000B4081">
          <w:rPr>
            <w:noProof/>
            <w:webHidden/>
          </w:rPr>
          <w:fldChar w:fldCharType="end"/>
        </w:r>
      </w:hyperlink>
    </w:p>
    <w:p w14:paraId="453C18DD" w14:textId="06AE5BAC" w:rsidR="000B4081" w:rsidRDefault="00AC64E7">
      <w:pPr>
        <w:pStyle w:val="TOC2"/>
        <w:rPr>
          <w:rFonts w:eastAsiaTheme="minorEastAsia" w:cstheme="minorBidi"/>
          <w:noProof/>
          <w:lang w:val="en-AU" w:eastAsia="en-AU"/>
        </w:rPr>
      </w:pPr>
      <w:hyperlink w:anchor="_Toc70325316" w:history="1">
        <w:r w:rsidR="000B4081" w:rsidRPr="00531367">
          <w:rPr>
            <w:rStyle w:val="Hyperlink"/>
            <w:noProof/>
          </w:rPr>
          <w:t>OCCT matters</w:t>
        </w:r>
        <w:r w:rsidR="000B4081">
          <w:rPr>
            <w:noProof/>
            <w:webHidden/>
          </w:rPr>
          <w:tab/>
        </w:r>
        <w:r w:rsidR="000B4081">
          <w:rPr>
            <w:noProof/>
            <w:webHidden/>
          </w:rPr>
          <w:fldChar w:fldCharType="begin"/>
        </w:r>
        <w:r w:rsidR="000B4081">
          <w:rPr>
            <w:noProof/>
            <w:webHidden/>
          </w:rPr>
          <w:instrText xml:space="preserve"> PAGEREF _Toc70325316 \h </w:instrText>
        </w:r>
        <w:r w:rsidR="000B4081">
          <w:rPr>
            <w:noProof/>
            <w:webHidden/>
          </w:rPr>
        </w:r>
        <w:r w:rsidR="000B4081">
          <w:rPr>
            <w:noProof/>
            <w:webHidden/>
          </w:rPr>
          <w:fldChar w:fldCharType="separate"/>
        </w:r>
        <w:r w:rsidR="000B4081">
          <w:rPr>
            <w:noProof/>
            <w:webHidden/>
          </w:rPr>
          <w:t>4</w:t>
        </w:r>
        <w:r w:rsidR="000B4081">
          <w:rPr>
            <w:noProof/>
            <w:webHidden/>
          </w:rPr>
          <w:fldChar w:fldCharType="end"/>
        </w:r>
      </w:hyperlink>
    </w:p>
    <w:p w14:paraId="2D92BD9D" w14:textId="42717EFD" w:rsidR="000B4081" w:rsidRDefault="00AC64E7">
      <w:pPr>
        <w:pStyle w:val="TOC2"/>
        <w:rPr>
          <w:rFonts w:eastAsiaTheme="minorEastAsia" w:cstheme="minorBidi"/>
          <w:noProof/>
          <w:lang w:val="en-AU" w:eastAsia="en-AU"/>
        </w:rPr>
      </w:pPr>
      <w:hyperlink w:anchor="_Toc70325317" w:history="1">
        <w:r w:rsidR="000B4081" w:rsidRPr="00531367">
          <w:rPr>
            <w:rStyle w:val="Hyperlink"/>
            <w:noProof/>
          </w:rPr>
          <w:t>File management and record keeping</w:t>
        </w:r>
        <w:r w:rsidR="000B4081">
          <w:rPr>
            <w:noProof/>
            <w:webHidden/>
          </w:rPr>
          <w:tab/>
        </w:r>
        <w:r w:rsidR="000B4081">
          <w:rPr>
            <w:noProof/>
            <w:webHidden/>
          </w:rPr>
          <w:fldChar w:fldCharType="begin"/>
        </w:r>
        <w:r w:rsidR="000B4081">
          <w:rPr>
            <w:noProof/>
            <w:webHidden/>
          </w:rPr>
          <w:instrText xml:space="preserve"> PAGEREF _Toc70325317 \h </w:instrText>
        </w:r>
        <w:r w:rsidR="000B4081">
          <w:rPr>
            <w:noProof/>
            <w:webHidden/>
          </w:rPr>
        </w:r>
        <w:r w:rsidR="000B4081">
          <w:rPr>
            <w:noProof/>
            <w:webHidden/>
          </w:rPr>
          <w:fldChar w:fldCharType="separate"/>
        </w:r>
        <w:r w:rsidR="000B4081">
          <w:rPr>
            <w:noProof/>
            <w:webHidden/>
          </w:rPr>
          <w:t>5</w:t>
        </w:r>
        <w:r w:rsidR="000B4081">
          <w:rPr>
            <w:noProof/>
            <w:webHidden/>
          </w:rPr>
          <w:fldChar w:fldCharType="end"/>
        </w:r>
      </w:hyperlink>
    </w:p>
    <w:p w14:paraId="7180F604" w14:textId="471CDC5F" w:rsidR="000B4081" w:rsidRDefault="00AC64E7">
      <w:pPr>
        <w:pStyle w:val="TOC2"/>
        <w:rPr>
          <w:rFonts w:eastAsiaTheme="minorEastAsia" w:cstheme="minorBidi"/>
          <w:noProof/>
          <w:lang w:val="en-AU" w:eastAsia="en-AU"/>
        </w:rPr>
      </w:pPr>
      <w:hyperlink w:anchor="_Toc70325318" w:history="1">
        <w:r w:rsidR="000B4081" w:rsidRPr="00531367">
          <w:rPr>
            <w:rStyle w:val="Hyperlink"/>
            <w:noProof/>
          </w:rPr>
          <w:t>Other policies</w:t>
        </w:r>
        <w:r w:rsidR="000B4081">
          <w:rPr>
            <w:noProof/>
            <w:webHidden/>
          </w:rPr>
          <w:tab/>
        </w:r>
        <w:r w:rsidR="000B4081">
          <w:rPr>
            <w:noProof/>
            <w:webHidden/>
          </w:rPr>
          <w:fldChar w:fldCharType="begin"/>
        </w:r>
        <w:r w:rsidR="000B4081">
          <w:rPr>
            <w:noProof/>
            <w:webHidden/>
          </w:rPr>
          <w:instrText xml:space="preserve"> PAGEREF _Toc70325318 \h </w:instrText>
        </w:r>
        <w:r w:rsidR="000B4081">
          <w:rPr>
            <w:noProof/>
            <w:webHidden/>
          </w:rPr>
        </w:r>
        <w:r w:rsidR="000B4081">
          <w:rPr>
            <w:noProof/>
            <w:webHidden/>
          </w:rPr>
          <w:fldChar w:fldCharType="separate"/>
        </w:r>
        <w:r w:rsidR="000B4081">
          <w:rPr>
            <w:noProof/>
            <w:webHidden/>
          </w:rPr>
          <w:t>5</w:t>
        </w:r>
        <w:r w:rsidR="000B4081">
          <w:rPr>
            <w:noProof/>
            <w:webHidden/>
          </w:rPr>
          <w:fldChar w:fldCharType="end"/>
        </w:r>
      </w:hyperlink>
    </w:p>
    <w:p w14:paraId="68E3DE7D" w14:textId="7B6AEA51" w:rsidR="00133AAE" w:rsidRDefault="00ED5AA9" w:rsidP="00ED5AA9">
      <w:pPr>
        <w:rPr>
          <w:b/>
          <w:bCs/>
          <w:noProof/>
        </w:rPr>
      </w:pPr>
      <w:r>
        <w:rPr>
          <w:b/>
          <w:bCs/>
          <w:noProof/>
        </w:rPr>
        <w:fldChar w:fldCharType="end"/>
      </w:r>
    </w:p>
    <w:p w14:paraId="08DB61C4" w14:textId="6484C158" w:rsidR="00133AAE" w:rsidRPr="00133AAE" w:rsidRDefault="004F7A99" w:rsidP="00133AAE">
      <w:pPr>
        <w:pStyle w:val="NLDheading"/>
      </w:pPr>
      <w:bookmarkStart w:id="2" w:name="_Toc70325312"/>
      <w:r>
        <w:t>Background</w:t>
      </w:r>
      <w:bookmarkEnd w:id="2"/>
    </w:p>
    <w:p w14:paraId="387D8EBA" w14:textId="29768DC7" w:rsidR="001C14E5" w:rsidRDefault="00133AAE" w:rsidP="004F7A99">
      <w:pPr>
        <w:pStyle w:val="ListParagraph"/>
        <w:numPr>
          <w:ilvl w:val="0"/>
          <w:numId w:val="6"/>
        </w:numPr>
        <w:spacing w:after="0" w:line="276" w:lineRule="auto"/>
        <w:rPr>
          <w:rFonts w:cs="Calibri"/>
        </w:rPr>
      </w:pPr>
      <w:r>
        <w:rPr>
          <w:rFonts w:cs="Calibri"/>
        </w:rPr>
        <w:t xml:space="preserve">The Commonwealth Director of Public Prosecutions (CDPP)’s role in the institution and conduct of Commonwealth prosecutions is outlined in </w:t>
      </w:r>
      <w:r w:rsidR="0094360E">
        <w:rPr>
          <w:rFonts w:cs="Calibri"/>
        </w:rPr>
        <w:t>Chapter</w:t>
      </w:r>
      <w:r>
        <w:rPr>
          <w:rFonts w:cs="Calibri"/>
        </w:rPr>
        <w:t xml:space="preserve"> 3 of the </w:t>
      </w:r>
      <w:r w:rsidRPr="00572620">
        <w:rPr>
          <w:rFonts w:cs="Calibri"/>
          <w:i/>
          <w:iCs/>
        </w:rPr>
        <w:t>Prosecution Policy of the Commonwealth</w:t>
      </w:r>
      <w:r>
        <w:rPr>
          <w:rFonts w:cs="Calibri"/>
        </w:rPr>
        <w:t xml:space="preserve"> and includes, among other things, providing legal advice to investigative agencies during the investigation of a federal offence. </w:t>
      </w:r>
      <w:r w:rsidR="001054CB" w:rsidRPr="00AE5CA1">
        <w:rPr>
          <w:rFonts w:cs="Calibri"/>
        </w:rPr>
        <w:t>This advice is referred to as ‘pre-brief advice’ and is provided prior to a full brief of evidence being received.</w:t>
      </w:r>
      <w:r w:rsidR="001054CB">
        <w:rPr>
          <w:rFonts w:cs="Calibri"/>
        </w:rPr>
        <w:t xml:space="preserve"> </w:t>
      </w:r>
    </w:p>
    <w:p w14:paraId="7FDCE270" w14:textId="77777777" w:rsidR="001C14E5" w:rsidRDefault="001C14E5" w:rsidP="001C14E5">
      <w:pPr>
        <w:pStyle w:val="ListParagraph"/>
        <w:spacing w:after="0" w:line="276" w:lineRule="auto"/>
        <w:ind w:left="3"/>
        <w:rPr>
          <w:rFonts w:cs="Calibri"/>
        </w:rPr>
      </w:pPr>
    </w:p>
    <w:p w14:paraId="4ED9F95B" w14:textId="28E7C4F2" w:rsidR="00C42E9D" w:rsidRDefault="00133AAE" w:rsidP="00C42E9D">
      <w:pPr>
        <w:pStyle w:val="ListParagraph"/>
        <w:numPr>
          <w:ilvl w:val="0"/>
          <w:numId w:val="6"/>
        </w:numPr>
        <w:spacing w:after="0" w:line="276" w:lineRule="auto"/>
        <w:rPr>
          <w:rFonts w:cs="Calibri"/>
        </w:rPr>
      </w:pPr>
      <w:r w:rsidRPr="004F7A99">
        <w:rPr>
          <w:rFonts w:cs="Calibri"/>
        </w:rPr>
        <w:t xml:space="preserve">The statutory basis upon which the CDPP can give </w:t>
      </w:r>
      <w:r w:rsidR="001054CB" w:rsidRPr="004F7A99">
        <w:rPr>
          <w:rFonts w:cs="Calibri"/>
        </w:rPr>
        <w:t xml:space="preserve">this </w:t>
      </w:r>
      <w:r w:rsidRPr="004F7A99">
        <w:rPr>
          <w:rFonts w:cs="Calibri"/>
        </w:rPr>
        <w:t xml:space="preserve">advice is </w:t>
      </w:r>
      <w:r w:rsidR="00C326BB">
        <w:rPr>
          <w:rFonts w:cs="Calibri"/>
        </w:rPr>
        <w:t>found</w:t>
      </w:r>
      <w:r w:rsidRPr="004F7A99">
        <w:rPr>
          <w:rFonts w:cs="Calibri"/>
        </w:rPr>
        <w:t xml:space="preserve"> in </w:t>
      </w:r>
      <w:r w:rsidR="00C42E9D">
        <w:rPr>
          <w:rFonts w:cs="Calibri"/>
        </w:rPr>
        <w:t xml:space="preserve">section 6(1)(n) of </w:t>
      </w:r>
      <w:r w:rsidRPr="004F7A99">
        <w:rPr>
          <w:rFonts w:cs="Calibri"/>
        </w:rPr>
        <w:t xml:space="preserve">the </w:t>
      </w:r>
      <w:r w:rsidRPr="004F7A99">
        <w:rPr>
          <w:rFonts w:cs="Calibri"/>
          <w:i/>
          <w:iCs/>
        </w:rPr>
        <w:t>Director of Public Prosecutions Act 1983</w:t>
      </w:r>
      <w:r w:rsidRPr="004F7A99">
        <w:rPr>
          <w:rFonts w:cs="Calibri"/>
        </w:rPr>
        <w:t xml:space="preserve"> (DPP Act) and </w:t>
      </w:r>
      <w:r w:rsidR="00C42E9D">
        <w:rPr>
          <w:rFonts w:cs="Calibri"/>
        </w:rPr>
        <w:t xml:space="preserve">regulation 6 </w:t>
      </w:r>
      <w:r w:rsidRPr="004F7A99">
        <w:rPr>
          <w:rFonts w:cs="Calibri"/>
        </w:rPr>
        <w:t xml:space="preserve">the </w:t>
      </w:r>
      <w:r w:rsidRPr="004F7A99">
        <w:rPr>
          <w:rFonts w:cs="Calibri"/>
          <w:i/>
          <w:iCs/>
        </w:rPr>
        <w:t xml:space="preserve">Director of Public Prosecution Regulations </w:t>
      </w:r>
      <w:r w:rsidR="0075417F">
        <w:rPr>
          <w:rFonts w:cs="Calibri"/>
          <w:i/>
          <w:iCs/>
        </w:rPr>
        <w:t>2019</w:t>
      </w:r>
      <w:r w:rsidRPr="004F7A99">
        <w:rPr>
          <w:rFonts w:cs="Calibri"/>
        </w:rPr>
        <w:t xml:space="preserve"> (DPP Regulations).  </w:t>
      </w:r>
      <w:bookmarkStart w:id="3" w:name="_Hlk69388781"/>
      <w:r w:rsidR="00C326BB">
        <w:rPr>
          <w:rFonts w:cs="Calibri"/>
        </w:rPr>
        <w:t>Together, these provisions extend the functions of the CDPP to include:</w:t>
      </w:r>
    </w:p>
    <w:p w14:paraId="4F622558" w14:textId="7D4C60B9" w:rsidR="00C42E9D" w:rsidRDefault="00C326BB" w:rsidP="00C42E9D">
      <w:pPr>
        <w:pStyle w:val="FootnoteText"/>
        <w:numPr>
          <w:ilvl w:val="0"/>
          <w:numId w:val="33"/>
        </w:numPr>
        <w:spacing w:before="240"/>
        <w:rPr>
          <w:sz w:val="22"/>
          <w:szCs w:val="22"/>
        </w:rPr>
      </w:pPr>
      <w:r>
        <w:rPr>
          <w:sz w:val="22"/>
          <w:szCs w:val="22"/>
        </w:rPr>
        <w:t>giving</w:t>
      </w:r>
      <w:r w:rsidR="00C42E9D">
        <w:rPr>
          <w:sz w:val="22"/>
          <w:szCs w:val="22"/>
        </w:rPr>
        <w:t xml:space="preserve"> to an authority of the Commonwealth, legal advice on law enforcement or a matter relating to law enforcement, </w:t>
      </w:r>
      <w:proofErr w:type="gramStart"/>
      <w:r w:rsidR="00C42E9D">
        <w:rPr>
          <w:sz w:val="22"/>
          <w:szCs w:val="22"/>
        </w:rPr>
        <w:t>whether or not</w:t>
      </w:r>
      <w:proofErr w:type="gramEnd"/>
      <w:r w:rsidR="00C42E9D">
        <w:rPr>
          <w:sz w:val="22"/>
          <w:szCs w:val="22"/>
        </w:rPr>
        <w:t xml:space="preserve"> the advice is for the purposes of a particular investigation (reg 6(1)(e)); and</w:t>
      </w:r>
    </w:p>
    <w:p w14:paraId="033F6FA6" w14:textId="33071FD0" w:rsidR="00C42E9D" w:rsidRDefault="00C326BB" w:rsidP="00C42E9D">
      <w:pPr>
        <w:pStyle w:val="FootnoteText"/>
        <w:numPr>
          <w:ilvl w:val="0"/>
          <w:numId w:val="33"/>
        </w:numPr>
        <w:rPr>
          <w:sz w:val="22"/>
          <w:szCs w:val="22"/>
        </w:rPr>
      </w:pPr>
      <w:r>
        <w:rPr>
          <w:sz w:val="22"/>
          <w:szCs w:val="22"/>
        </w:rPr>
        <w:t>giving</w:t>
      </w:r>
      <w:r w:rsidR="00C42E9D">
        <w:rPr>
          <w:sz w:val="22"/>
          <w:szCs w:val="22"/>
        </w:rPr>
        <w:t xml:space="preserve"> to a State or Territory authority, legal advice on the investigation or prosecution of an offence against a law of the Commonwealth or a matter relating to the investigation or prosecution of such an offence, whether or not the advice is for the purposes of a particular investigation (reg 6(1)(f)). </w:t>
      </w:r>
    </w:p>
    <w:p w14:paraId="335C4A20" w14:textId="77777777" w:rsidR="00C326BB" w:rsidRDefault="00C326BB" w:rsidP="00C326BB">
      <w:pPr>
        <w:pStyle w:val="FootnoteText"/>
        <w:ind w:left="1080"/>
        <w:rPr>
          <w:sz w:val="22"/>
          <w:szCs w:val="22"/>
        </w:rPr>
      </w:pPr>
    </w:p>
    <w:p w14:paraId="0056F00E" w14:textId="02352CD6" w:rsidR="00C326BB" w:rsidRPr="00DB6486" w:rsidRDefault="00DB6486" w:rsidP="00DB6486">
      <w:pPr>
        <w:pStyle w:val="ListParagraph"/>
        <w:numPr>
          <w:ilvl w:val="0"/>
          <w:numId w:val="6"/>
        </w:numPr>
        <w:spacing w:after="0" w:line="276" w:lineRule="auto"/>
        <w:rPr>
          <w:rFonts w:cs="Calibri"/>
        </w:rPr>
      </w:pPr>
      <w:r>
        <w:rPr>
          <w:rFonts w:cs="Calibri"/>
        </w:rPr>
        <w:t xml:space="preserve">These functions were expressly included in the legislation following the decision of the Full Court of the Federal Court in </w:t>
      </w:r>
      <w:r w:rsidRPr="00DB6486">
        <w:rPr>
          <w:rFonts w:cs="Calibri"/>
          <w:i/>
          <w:iCs/>
        </w:rPr>
        <w:t>Health Insurance</w:t>
      </w:r>
      <w:r>
        <w:rPr>
          <w:rFonts w:cs="Calibri"/>
        </w:rPr>
        <w:t xml:space="preserve"> </w:t>
      </w:r>
      <w:r w:rsidRPr="00DB6486">
        <w:rPr>
          <w:rFonts w:cs="Calibri"/>
          <w:i/>
          <w:iCs/>
        </w:rPr>
        <w:t>Commission v</w:t>
      </w:r>
      <w:r>
        <w:rPr>
          <w:rFonts w:cs="Calibri"/>
        </w:rPr>
        <w:t xml:space="preserve"> </w:t>
      </w:r>
      <w:r w:rsidRPr="00DB6486">
        <w:rPr>
          <w:i/>
          <w:iCs/>
        </w:rPr>
        <w:t>Freeman</w:t>
      </w:r>
      <w:r>
        <w:rPr>
          <w:i/>
          <w:iCs/>
        </w:rPr>
        <w:t xml:space="preserve"> (1998) </w:t>
      </w:r>
      <w:r w:rsidR="008F0E87">
        <w:rPr>
          <w:i/>
          <w:iCs/>
        </w:rPr>
        <w:t>158 ALR 267</w:t>
      </w:r>
      <w:r>
        <w:t>.</w:t>
      </w:r>
      <w:r w:rsidR="00874526" w:rsidRPr="00DB6486" w:rsidDel="00874526">
        <w:rPr>
          <w:rStyle w:val="FootnoteReference"/>
        </w:rPr>
        <w:t xml:space="preserve"> </w:t>
      </w:r>
      <w:bookmarkEnd w:id="3"/>
    </w:p>
    <w:p w14:paraId="0A104495" w14:textId="77777777" w:rsidR="00DB6486" w:rsidRPr="00DB6486" w:rsidRDefault="00DB6486" w:rsidP="00DB6486">
      <w:pPr>
        <w:pStyle w:val="ListParagraph"/>
        <w:spacing w:after="0" w:line="276" w:lineRule="auto"/>
        <w:ind w:left="3"/>
        <w:rPr>
          <w:rFonts w:cs="Calibri"/>
        </w:rPr>
      </w:pPr>
    </w:p>
    <w:p w14:paraId="3DE3434B" w14:textId="0031AF81" w:rsidR="001054CB" w:rsidRPr="00C007BD" w:rsidRDefault="00133AAE" w:rsidP="00B253EB">
      <w:pPr>
        <w:pStyle w:val="ListParagraph"/>
        <w:numPr>
          <w:ilvl w:val="0"/>
          <w:numId w:val="6"/>
        </w:numPr>
        <w:ind w:right="-1"/>
      </w:pPr>
      <w:r w:rsidRPr="00C007BD">
        <w:rPr>
          <w:rFonts w:cs="Calibri"/>
        </w:rPr>
        <w:t>Th</w:t>
      </w:r>
      <w:r>
        <w:rPr>
          <w:rFonts w:cs="Calibri"/>
        </w:rPr>
        <w:t xml:space="preserve">e CDPP </w:t>
      </w:r>
      <w:r w:rsidR="00CA064F">
        <w:rPr>
          <w:rFonts w:cs="Calibri"/>
        </w:rPr>
        <w:t>has no investigative function</w:t>
      </w:r>
      <w:r>
        <w:rPr>
          <w:rFonts w:cs="Calibri"/>
        </w:rPr>
        <w:t xml:space="preserve">. </w:t>
      </w:r>
      <w:r w:rsidR="00CA064F">
        <w:rPr>
          <w:rFonts w:cs="Calibri"/>
        </w:rPr>
        <w:t>Criminal i</w:t>
      </w:r>
      <w:r>
        <w:rPr>
          <w:rFonts w:cs="Calibri"/>
        </w:rPr>
        <w:t xml:space="preserve">nvestigations are carried out by </w:t>
      </w:r>
      <w:r w:rsidR="00CA064F">
        <w:rPr>
          <w:rFonts w:cs="Calibri"/>
        </w:rPr>
        <w:t xml:space="preserve">law enforcement agencies or by </w:t>
      </w:r>
      <w:r>
        <w:rPr>
          <w:rFonts w:cs="Calibri"/>
        </w:rPr>
        <w:t xml:space="preserve">those departments or agencies responsible for administering the relevant legislation under which an alleged offence has been </w:t>
      </w:r>
      <w:r w:rsidRPr="009637C8">
        <w:rPr>
          <w:rFonts w:cs="Calibri"/>
        </w:rPr>
        <w:t xml:space="preserve">committed. All operational decisions </w:t>
      </w:r>
      <w:r w:rsidR="00CA064F">
        <w:rPr>
          <w:rFonts w:cs="Calibri"/>
        </w:rPr>
        <w:t xml:space="preserve">regarding the conduct of a criminal investigation </w:t>
      </w:r>
      <w:r w:rsidRPr="009637C8">
        <w:rPr>
          <w:rFonts w:cs="Calibri"/>
        </w:rPr>
        <w:t xml:space="preserve">must be made by the </w:t>
      </w:r>
      <w:r w:rsidR="00CA064F">
        <w:rPr>
          <w:rFonts w:cs="Calibri"/>
        </w:rPr>
        <w:t xml:space="preserve">investigative </w:t>
      </w:r>
      <w:r w:rsidRPr="009637C8">
        <w:rPr>
          <w:rFonts w:cs="Calibri"/>
        </w:rPr>
        <w:t xml:space="preserve">agency. </w:t>
      </w:r>
      <w:r w:rsidR="004F7A99" w:rsidRPr="009637C8">
        <w:rPr>
          <w:rFonts w:cs="Calibri"/>
        </w:rPr>
        <w:t>E</w:t>
      </w:r>
      <w:r w:rsidR="004F7A99" w:rsidRPr="009637C8">
        <w:t>xamples</w:t>
      </w:r>
      <w:r w:rsidR="004F7A99" w:rsidRPr="00B01136">
        <w:t xml:space="preserve"> of </w:t>
      </w:r>
      <w:r w:rsidR="004F7A99" w:rsidRPr="00B01136">
        <w:lastRenderedPageBreak/>
        <w:t xml:space="preserve">operational decisions include whether an investigation will commence or continue, whether resources will be committed to an investigation or to a particular aspect of it, </w:t>
      </w:r>
      <w:r w:rsidR="008F0E87">
        <w:t>the</w:t>
      </w:r>
      <w:r w:rsidR="004F7A99" w:rsidRPr="00B01136">
        <w:t xml:space="preserve"> scope </w:t>
      </w:r>
      <w:r w:rsidR="008F0E87">
        <w:t xml:space="preserve">of </w:t>
      </w:r>
      <w:r w:rsidR="004F7A99" w:rsidRPr="00B01136">
        <w:t>an investigation, whether to exercise a specific statutory power (e.g. the power of arrest)</w:t>
      </w:r>
      <w:r w:rsidR="004F7A99">
        <w:t xml:space="preserve"> and </w:t>
      </w:r>
      <w:r w:rsidR="004F7A99" w:rsidRPr="00B01136">
        <w:t xml:space="preserve">decisions relating to </w:t>
      </w:r>
      <w:r w:rsidR="004F7A99" w:rsidRPr="00C007BD">
        <w:t xml:space="preserve">the ongoing management of an investigation or the prioritisation of the investigation.  </w:t>
      </w:r>
    </w:p>
    <w:p w14:paraId="52997521" w14:textId="77777777" w:rsidR="001054CB" w:rsidRDefault="001054CB" w:rsidP="001054CB">
      <w:pPr>
        <w:pStyle w:val="ListParagraph"/>
      </w:pPr>
    </w:p>
    <w:p w14:paraId="3DB86C13" w14:textId="616483DF" w:rsidR="00133AAE" w:rsidRPr="00A21363" w:rsidRDefault="001054CB" w:rsidP="00A5752A">
      <w:pPr>
        <w:pStyle w:val="ListParagraph"/>
        <w:numPr>
          <w:ilvl w:val="0"/>
          <w:numId w:val="6"/>
        </w:numPr>
        <w:spacing w:after="0"/>
      </w:pPr>
      <w:r>
        <w:t>I</w:t>
      </w:r>
      <w:r w:rsidR="00133AAE">
        <w:t xml:space="preserve">f the CDPP is of the view that </w:t>
      </w:r>
      <w:r w:rsidR="00133AAE">
        <w:rPr>
          <w:rFonts w:cs="Calibri"/>
        </w:rPr>
        <w:t xml:space="preserve">further investigation into a matter is necessary, section 13 of the DPP Act </w:t>
      </w:r>
      <w:r>
        <w:rPr>
          <w:rFonts w:cs="Calibri"/>
        </w:rPr>
        <w:t>permits</w:t>
      </w:r>
      <w:r w:rsidR="00133AAE">
        <w:rPr>
          <w:rFonts w:cs="Calibri"/>
        </w:rPr>
        <w:t xml:space="preserve"> the Director </w:t>
      </w:r>
      <w:r>
        <w:rPr>
          <w:rFonts w:cs="Calibri"/>
        </w:rPr>
        <w:t xml:space="preserve">to </w:t>
      </w:r>
      <w:r w:rsidR="00133AAE">
        <w:rPr>
          <w:rFonts w:cs="Calibri"/>
        </w:rPr>
        <w:t>request</w:t>
      </w:r>
      <w:r>
        <w:rPr>
          <w:rFonts w:cs="Calibri"/>
        </w:rPr>
        <w:t xml:space="preserve"> th</w:t>
      </w:r>
      <w:r w:rsidR="00133AAE">
        <w:rPr>
          <w:rFonts w:cs="Calibri"/>
        </w:rPr>
        <w:t xml:space="preserve">is and specifies that the Commissioner of Police </w:t>
      </w:r>
      <w:r w:rsidR="000F6E76">
        <w:rPr>
          <w:rFonts w:cs="Calibri"/>
        </w:rPr>
        <w:t>is to</w:t>
      </w:r>
      <w:r w:rsidR="00133AAE">
        <w:rPr>
          <w:rFonts w:cs="Calibri"/>
        </w:rPr>
        <w:t xml:space="preserve"> comply with the request, as far as practicable.</w:t>
      </w:r>
      <w:r w:rsidR="00CA064F">
        <w:rPr>
          <w:rFonts w:cs="Calibri"/>
        </w:rPr>
        <w:t xml:space="preserve">  Any such request must be made by an instrument in writing issued by the Director.</w:t>
      </w:r>
      <w:r w:rsidR="00133AAE">
        <w:rPr>
          <w:rFonts w:cs="Calibri"/>
        </w:rPr>
        <w:t xml:space="preserve">  </w:t>
      </w:r>
    </w:p>
    <w:p w14:paraId="52780843" w14:textId="2D7700DC" w:rsidR="00A21363" w:rsidRPr="00A21363" w:rsidRDefault="001C14E5" w:rsidP="002936E7">
      <w:r w:rsidRPr="00040274">
        <w:t xml:space="preserve"> </w:t>
      </w:r>
    </w:p>
    <w:p w14:paraId="15B58ABD" w14:textId="2260FEDC" w:rsidR="00572620" w:rsidRDefault="007E5C8F" w:rsidP="00000BCF">
      <w:pPr>
        <w:pStyle w:val="NLDheading"/>
        <w:rPr>
          <w:rFonts w:cs="Calibri"/>
        </w:rPr>
      </w:pPr>
      <w:bookmarkStart w:id="4" w:name="_Toc70325313"/>
      <w:r>
        <w:rPr>
          <w:rFonts w:cs="Calibri"/>
        </w:rPr>
        <w:t>Types of</w:t>
      </w:r>
      <w:r w:rsidR="00572620">
        <w:rPr>
          <w:rFonts w:cs="Calibri"/>
        </w:rPr>
        <w:t xml:space="preserve"> pre-brief advice</w:t>
      </w:r>
      <w:bookmarkEnd w:id="4"/>
      <w:r w:rsidR="00572620">
        <w:rPr>
          <w:rFonts w:cs="Calibri"/>
        </w:rPr>
        <w:t xml:space="preserve"> </w:t>
      </w:r>
    </w:p>
    <w:p w14:paraId="2B8F5982" w14:textId="3C43F47C" w:rsidR="00C01030" w:rsidRDefault="00C01030" w:rsidP="00000BCF">
      <w:pPr>
        <w:pStyle w:val="ListParagraph"/>
        <w:numPr>
          <w:ilvl w:val="0"/>
          <w:numId w:val="6"/>
        </w:numPr>
        <w:suppressAutoHyphens/>
        <w:spacing w:before="100" w:after="100" w:line="240" w:lineRule="auto"/>
      </w:pPr>
      <w:r>
        <w:t xml:space="preserve">Engagement with an agency </w:t>
      </w:r>
      <w:r w:rsidRPr="00C01030">
        <w:rPr>
          <w:u w:val="single"/>
        </w:rPr>
        <w:t>before</w:t>
      </w:r>
      <w:r>
        <w:t xml:space="preserve"> a brief is referred usually takes one of two forms:</w:t>
      </w:r>
    </w:p>
    <w:p w14:paraId="3569A413" w14:textId="77777777" w:rsidR="00C01030" w:rsidRDefault="00C01030" w:rsidP="00000BCF">
      <w:pPr>
        <w:pStyle w:val="ListParagraph"/>
      </w:pPr>
    </w:p>
    <w:p w14:paraId="30C82A32" w14:textId="77777777" w:rsidR="00C01030" w:rsidRPr="00C01030" w:rsidRDefault="00C01030" w:rsidP="00000BCF">
      <w:pPr>
        <w:pStyle w:val="ListParagraph"/>
        <w:numPr>
          <w:ilvl w:val="0"/>
          <w:numId w:val="20"/>
        </w:numPr>
        <w:suppressAutoHyphens/>
        <w:spacing w:before="100" w:after="100" w:line="276" w:lineRule="auto"/>
        <w:rPr>
          <w:rFonts w:cstheme="minorHAnsi"/>
          <w:u w:val="single"/>
        </w:rPr>
      </w:pPr>
      <w:r w:rsidRPr="00C01030">
        <w:rPr>
          <w:rFonts w:cstheme="minorHAnsi"/>
          <w:u w:val="single"/>
        </w:rPr>
        <w:t>straightforward/routine enquiries</w:t>
      </w:r>
    </w:p>
    <w:p w14:paraId="0A0789F9" w14:textId="03BFE8E7" w:rsidR="00C01030" w:rsidRPr="00C01030" w:rsidRDefault="00C01030" w:rsidP="00874526">
      <w:pPr>
        <w:spacing w:after="0" w:line="276" w:lineRule="auto"/>
        <w:ind w:left="1077"/>
        <w:rPr>
          <w:rFonts w:cstheme="minorHAnsi"/>
          <w:b/>
        </w:rPr>
      </w:pPr>
      <w:r w:rsidRPr="00C01030">
        <w:rPr>
          <w:rFonts w:cstheme="minorHAnsi"/>
        </w:rPr>
        <w:t>Enquiries from partner agencies will usually be directed to the Branch Head</w:t>
      </w:r>
      <w:r w:rsidRPr="00C01030">
        <w:rPr>
          <w:rStyle w:val="FootnoteReference"/>
          <w:rFonts w:cstheme="minorHAnsi"/>
        </w:rPr>
        <w:footnoteReference w:id="1"/>
      </w:r>
      <w:r w:rsidRPr="00C01030">
        <w:rPr>
          <w:rFonts w:cstheme="minorHAnsi"/>
        </w:rPr>
        <w:t xml:space="preserve"> of the relevant practice area in the first instance. The enquiry will often be triaged, particularly if the nature of the enquiry is straight forward. </w:t>
      </w:r>
      <w:r w:rsidR="00CA064F">
        <w:rPr>
          <w:rFonts w:cstheme="minorHAnsi"/>
        </w:rPr>
        <w:t xml:space="preserve">The CDPP may, for example, respond to such an enquiry by </w:t>
      </w:r>
      <w:r w:rsidRPr="00C01030">
        <w:rPr>
          <w:rFonts w:cstheme="minorHAnsi"/>
        </w:rPr>
        <w:t xml:space="preserve">reminding an investigator to </w:t>
      </w:r>
      <w:r w:rsidR="00CA064F">
        <w:rPr>
          <w:rFonts w:cstheme="minorHAnsi"/>
        </w:rPr>
        <w:t xml:space="preserve">be mindful of </w:t>
      </w:r>
      <w:r w:rsidRPr="00C01030">
        <w:rPr>
          <w:rFonts w:cstheme="minorHAnsi"/>
        </w:rPr>
        <w:t xml:space="preserve">additional </w:t>
      </w:r>
      <w:r w:rsidR="00CA064F">
        <w:rPr>
          <w:rFonts w:cstheme="minorHAnsi"/>
        </w:rPr>
        <w:t xml:space="preserve">relevant </w:t>
      </w:r>
      <w:r w:rsidRPr="00C01030">
        <w:rPr>
          <w:rFonts w:cstheme="minorHAnsi"/>
        </w:rPr>
        <w:t xml:space="preserve">offences when undertaking </w:t>
      </w:r>
      <w:r w:rsidR="00C65704">
        <w:rPr>
          <w:rFonts w:cstheme="minorHAnsi"/>
        </w:rPr>
        <w:t xml:space="preserve">the </w:t>
      </w:r>
      <w:r w:rsidRPr="00C01030">
        <w:rPr>
          <w:rFonts w:cstheme="minorHAnsi"/>
        </w:rPr>
        <w:t xml:space="preserve">investigation, </w:t>
      </w:r>
      <w:r w:rsidR="00CA064F">
        <w:rPr>
          <w:rFonts w:cstheme="minorHAnsi"/>
        </w:rPr>
        <w:t xml:space="preserve">drawing </w:t>
      </w:r>
      <w:r w:rsidRPr="00C01030">
        <w:rPr>
          <w:rFonts w:cstheme="minorHAnsi"/>
        </w:rPr>
        <w:t>the investigator</w:t>
      </w:r>
      <w:r w:rsidR="00E86C54">
        <w:rPr>
          <w:rFonts w:cstheme="minorHAnsi"/>
        </w:rPr>
        <w:t>’s</w:t>
      </w:r>
      <w:r w:rsidRPr="00C01030">
        <w:rPr>
          <w:rFonts w:cstheme="minorHAnsi"/>
        </w:rPr>
        <w:t xml:space="preserve"> </w:t>
      </w:r>
      <w:r w:rsidR="00CA064F">
        <w:rPr>
          <w:rFonts w:cstheme="minorHAnsi"/>
        </w:rPr>
        <w:t xml:space="preserve">attention </w:t>
      </w:r>
      <w:r w:rsidR="00FB063E">
        <w:rPr>
          <w:rFonts w:cstheme="minorHAnsi"/>
        </w:rPr>
        <w:t>t</w:t>
      </w:r>
      <w:r w:rsidRPr="00C01030">
        <w:rPr>
          <w:rFonts w:cstheme="minorHAnsi"/>
        </w:rPr>
        <w:t xml:space="preserve">o a </w:t>
      </w:r>
      <w:r w:rsidR="00CA064F">
        <w:rPr>
          <w:rFonts w:cstheme="minorHAnsi"/>
        </w:rPr>
        <w:t>relevant legal authority</w:t>
      </w:r>
      <w:r w:rsidRPr="00C01030">
        <w:rPr>
          <w:rFonts w:cstheme="minorHAnsi"/>
        </w:rPr>
        <w:t xml:space="preserve">, </w:t>
      </w:r>
      <w:r w:rsidR="00FB063E">
        <w:rPr>
          <w:rFonts w:cstheme="minorHAnsi"/>
        </w:rPr>
        <w:t>canvassing avenues for the gathering of relevant evidence</w:t>
      </w:r>
      <w:r w:rsidRPr="00C01030">
        <w:rPr>
          <w:rFonts w:cstheme="minorHAnsi"/>
        </w:rPr>
        <w:t xml:space="preserve"> or flagging</w:t>
      </w:r>
      <w:r w:rsidR="00FB063E">
        <w:rPr>
          <w:rFonts w:cstheme="minorHAnsi"/>
        </w:rPr>
        <w:t>,</w:t>
      </w:r>
      <w:r w:rsidRPr="00C01030">
        <w:rPr>
          <w:rFonts w:cstheme="minorHAnsi"/>
        </w:rPr>
        <w:t xml:space="preserve"> in a general way</w:t>
      </w:r>
      <w:r w:rsidR="00FB063E">
        <w:rPr>
          <w:rFonts w:cstheme="minorHAnsi"/>
        </w:rPr>
        <w:t>,</w:t>
      </w:r>
      <w:r w:rsidRPr="00C01030">
        <w:rPr>
          <w:rFonts w:cstheme="minorHAnsi"/>
        </w:rPr>
        <w:t xml:space="preserve"> the sorts of issues that might arise i</w:t>
      </w:r>
      <w:r w:rsidR="00FB063E">
        <w:rPr>
          <w:rFonts w:cstheme="minorHAnsi"/>
        </w:rPr>
        <w:t>f</w:t>
      </w:r>
      <w:r w:rsidRPr="00C01030">
        <w:rPr>
          <w:rFonts w:cstheme="minorHAnsi"/>
        </w:rPr>
        <w:t xml:space="preserve"> the </w:t>
      </w:r>
      <w:r w:rsidR="00FB063E">
        <w:rPr>
          <w:rFonts w:cstheme="minorHAnsi"/>
        </w:rPr>
        <w:t>matter was to proceed to prosecution</w:t>
      </w:r>
      <w:r w:rsidRPr="00C01030">
        <w:rPr>
          <w:rFonts w:cstheme="minorHAnsi"/>
        </w:rPr>
        <w:t xml:space="preserve">.  It is always worthwhile to pause before giving an immediate answer and to consider asking clarifying questions to better appreciate the context. </w:t>
      </w:r>
      <w:r w:rsidR="00FB063E">
        <w:rPr>
          <w:rFonts w:cstheme="minorHAnsi"/>
        </w:rPr>
        <w:t>Always m</w:t>
      </w:r>
      <w:r w:rsidRPr="00446ACD">
        <w:rPr>
          <w:rFonts w:cstheme="minorHAnsi"/>
        </w:rPr>
        <w:t>ake a file note and</w:t>
      </w:r>
      <w:r w:rsidR="00FB063E">
        <w:rPr>
          <w:rFonts w:cstheme="minorHAnsi"/>
        </w:rPr>
        <w:t>,</w:t>
      </w:r>
      <w:r w:rsidRPr="00446ACD">
        <w:rPr>
          <w:rFonts w:cstheme="minorHAnsi"/>
        </w:rPr>
        <w:t xml:space="preserve"> if the advice </w:t>
      </w:r>
      <w:r w:rsidR="000F6E76" w:rsidRPr="00446ACD">
        <w:rPr>
          <w:rFonts w:cstheme="minorHAnsi"/>
        </w:rPr>
        <w:t>relates to a specific matter</w:t>
      </w:r>
      <w:r w:rsidR="00FB063E">
        <w:rPr>
          <w:rFonts w:cstheme="minorHAnsi"/>
        </w:rPr>
        <w:t xml:space="preserve">, open a </w:t>
      </w:r>
      <w:proofErr w:type="spellStart"/>
      <w:r w:rsidRPr="00446ACD">
        <w:rPr>
          <w:rFonts w:cstheme="minorHAnsi"/>
        </w:rPr>
        <w:t>caseHQ</w:t>
      </w:r>
      <w:proofErr w:type="spellEnd"/>
      <w:r w:rsidRPr="00446ACD">
        <w:rPr>
          <w:rFonts w:cstheme="minorHAnsi"/>
        </w:rPr>
        <w:t xml:space="preserve"> </w:t>
      </w:r>
      <w:r w:rsidR="00FB063E">
        <w:rPr>
          <w:rFonts w:cstheme="minorHAnsi"/>
        </w:rPr>
        <w:t xml:space="preserve">file </w:t>
      </w:r>
      <w:r w:rsidR="000F6E76" w:rsidRPr="00446ACD">
        <w:rPr>
          <w:rFonts w:cstheme="minorHAnsi"/>
        </w:rPr>
        <w:t xml:space="preserve">(refer to paras </w:t>
      </w:r>
      <w:r w:rsidR="002855DC">
        <w:rPr>
          <w:rFonts w:cstheme="minorHAnsi"/>
        </w:rPr>
        <w:t>18</w:t>
      </w:r>
      <w:r w:rsidR="000F6E76" w:rsidRPr="00446ACD">
        <w:rPr>
          <w:rFonts w:cstheme="minorHAnsi"/>
        </w:rPr>
        <w:t>-2</w:t>
      </w:r>
      <w:r w:rsidR="002855DC">
        <w:rPr>
          <w:rFonts w:cstheme="minorHAnsi"/>
        </w:rPr>
        <w:t>3</w:t>
      </w:r>
      <w:r w:rsidR="000F6E76" w:rsidRPr="00446ACD">
        <w:rPr>
          <w:rFonts w:cstheme="minorHAnsi"/>
        </w:rPr>
        <w:t>)</w:t>
      </w:r>
      <w:r w:rsidRPr="00446ACD">
        <w:rPr>
          <w:rFonts w:cstheme="minorHAnsi"/>
        </w:rPr>
        <w:t xml:space="preserve">.  </w:t>
      </w:r>
      <w:r w:rsidR="000F6E76" w:rsidRPr="00446ACD">
        <w:rPr>
          <w:rFonts w:cstheme="minorHAnsi"/>
        </w:rPr>
        <w:t xml:space="preserve"> </w:t>
      </w:r>
    </w:p>
    <w:p w14:paraId="5E44C5B6" w14:textId="77777777" w:rsidR="00C01030" w:rsidRPr="00C01030" w:rsidRDefault="00C01030" w:rsidP="00000BCF">
      <w:pPr>
        <w:spacing w:after="0" w:line="276" w:lineRule="auto"/>
        <w:rPr>
          <w:rFonts w:cstheme="minorHAnsi"/>
        </w:rPr>
      </w:pPr>
    </w:p>
    <w:p w14:paraId="0F61B00F" w14:textId="77777777" w:rsidR="00C01030" w:rsidRPr="00C01030" w:rsidRDefault="00C01030" w:rsidP="00000BCF">
      <w:pPr>
        <w:pStyle w:val="ListParagraph"/>
        <w:numPr>
          <w:ilvl w:val="0"/>
          <w:numId w:val="20"/>
        </w:numPr>
        <w:suppressAutoHyphens/>
        <w:spacing w:before="100" w:after="100" w:line="276" w:lineRule="auto"/>
        <w:rPr>
          <w:rFonts w:cstheme="minorHAnsi"/>
          <w:u w:val="single"/>
        </w:rPr>
      </w:pPr>
      <w:r w:rsidRPr="00C01030">
        <w:rPr>
          <w:rFonts w:cstheme="minorHAnsi"/>
          <w:u w:val="single"/>
        </w:rPr>
        <w:t>higher level or more complex pre-brief advice</w:t>
      </w:r>
    </w:p>
    <w:p w14:paraId="31ABFA3B" w14:textId="685FCA58" w:rsidR="00C01030" w:rsidRPr="00C007BD" w:rsidRDefault="00C01030" w:rsidP="00B253EB">
      <w:pPr>
        <w:spacing w:after="0" w:line="276" w:lineRule="auto"/>
        <w:ind w:left="1077" w:right="-1"/>
        <w:rPr>
          <w:rFonts w:cstheme="minorHAnsi"/>
        </w:rPr>
      </w:pPr>
      <w:r w:rsidRPr="00C007BD">
        <w:rPr>
          <w:rFonts w:cstheme="minorHAnsi"/>
        </w:rPr>
        <w:t xml:space="preserve">The CDPP is available to provide pre-brief </w:t>
      </w:r>
      <w:r w:rsidR="00FB063E" w:rsidRPr="00C007BD">
        <w:rPr>
          <w:rFonts w:cstheme="minorHAnsi"/>
        </w:rPr>
        <w:t xml:space="preserve">legal </w:t>
      </w:r>
      <w:r w:rsidRPr="00C007BD">
        <w:rPr>
          <w:rFonts w:cstheme="minorHAnsi"/>
        </w:rPr>
        <w:t>advice to investigative agencies in matters which are:</w:t>
      </w:r>
    </w:p>
    <w:p w14:paraId="2DAB678D" w14:textId="745698B7" w:rsidR="00C01030" w:rsidRPr="00C007BD" w:rsidRDefault="00C01030" w:rsidP="00000BCF">
      <w:pPr>
        <w:pStyle w:val="ListParagraph"/>
        <w:numPr>
          <w:ilvl w:val="0"/>
          <w:numId w:val="21"/>
        </w:numPr>
        <w:suppressAutoHyphens/>
        <w:spacing w:before="100" w:after="100" w:line="276" w:lineRule="auto"/>
        <w:ind w:right="566"/>
        <w:rPr>
          <w:rFonts w:cstheme="minorHAnsi"/>
        </w:rPr>
      </w:pPr>
      <w:r w:rsidRPr="00C007BD">
        <w:rPr>
          <w:rFonts w:cstheme="minorHAnsi"/>
        </w:rPr>
        <w:t xml:space="preserve">significant, complex or </w:t>
      </w:r>
      <w:r w:rsidR="00FB063E" w:rsidRPr="00C007BD">
        <w:rPr>
          <w:rFonts w:cstheme="minorHAnsi"/>
        </w:rPr>
        <w:t xml:space="preserve">high </w:t>
      </w:r>
      <w:proofErr w:type="gramStart"/>
      <w:r w:rsidR="00FB063E" w:rsidRPr="00C007BD">
        <w:rPr>
          <w:rFonts w:cstheme="minorHAnsi"/>
        </w:rPr>
        <w:t>profile</w:t>
      </w:r>
      <w:r w:rsidRPr="00C007BD">
        <w:rPr>
          <w:rFonts w:cstheme="minorHAnsi"/>
        </w:rPr>
        <w:t>;</w:t>
      </w:r>
      <w:proofErr w:type="gramEnd"/>
    </w:p>
    <w:p w14:paraId="23B055F4" w14:textId="77777777" w:rsidR="00C01030" w:rsidRPr="00C007BD" w:rsidRDefault="00C01030" w:rsidP="00000BCF">
      <w:pPr>
        <w:pStyle w:val="ListParagraph"/>
        <w:numPr>
          <w:ilvl w:val="0"/>
          <w:numId w:val="21"/>
        </w:numPr>
        <w:suppressAutoHyphens/>
        <w:spacing w:before="100" w:after="100" w:line="276" w:lineRule="auto"/>
        <w:ind w:right="566"/>
        <w:rPr>
          <w:rFonts w:cstheme="minorHAnsi"/>
        </w:rPr>
      </w:pPr>
      <w:proofErr w:type="gramStart"/>
      <w:r w:rsidRPr="00C007BD">
        <w:rPr>
          <w:rFonts w:cstheme="minorHAnsi"/>
        </w:rPr>
        <w:t>sensitive;</w:t>
      </w:r>
      <w:proofErr w:type="gramEnd"/>
    </w:p>
    <w:p w14:paraId="3EDE414A" w14:textId="77777777" w:rsidR="00C01030" w:rsidRPr="00C007BD" w:rsidRDefault="00C01030" w:rsidP="00B253EB">
      <w:pPr>
        <w:pStyle w:val="ListParagraph"/>
        <w:numPr>
          <w:ilvl w:val="0"/>
          <w:numId w:val="21"/>
        </w:numPr>
        <w:suppressAutoHyphens/>
        <w:spacing w:before="100" w:after="100" w:line="276" w:lineRule="auto"/>
        <w:ind w:right="-1"/>
        <w:rPr>
          <w:rFonts w:cstheme="minorHAnsi"/>
        </w:rPr>
      </w:pPr>
      <w:r w:rsidRPr="00C007BD">
        <w:rPr>
          <w:rFonts w:cstheme="minorHAnsi"/>
        </w:rPr>
        <w:t xml:space="preserve">of particular importance for the investigative agency’s enforcement </w:t>
      </w:r>
      <w:proofErr w:type="gramStart"/>
      <w:r w:rsidRPr="00C007BD">
        <w:rPr>
          <w:rFonts w:cstheme="minorHAnsi"/>
        </w:rPr>
        <w:t>strategy;</w:t>
      </w:r>
      <w:proofErr w:type="gramEnd"/>
    </w:p>
    <w:p w14:paraId="6F7B90F1" w14:textId="77777777" w:rsidR="00C01030" w:rsidRPr="00C007BD" w:rsidRDefault="00C01030" w:rsidP="00000BCF">
      <w:pPr>
        <w:pStyle w:val="ListParagraph"/>
        <w:numPr>
          <w:ilvl w:val="0"/>
          <w:numId w:val="21"/>
        </w:numPr>
        <w:suppressAutoHyphens/>
        <w:spacing w:before="100" w:after="100" w:line="276" w:lineRule="auto"/>
        <w:ind w:right="-1"/>
        <w:rPr>
          <w:rFonts w:cstheme="minorHAnsi"/>
        </w:rPr>
      </w:pPr>
      <w:r w:rsidRPr="00C007BD">
        <w:rPr>
          <w:rFonts w:cstheme="minorHAnsi"/>
        </w:rPr>
        <w:t>significant, in terms of the resource implications; or</w:t>
      </w:r>
    </w:p>
    <w:p w14:paraId="72745E51" w14:textId="77777777" w:rsidR="00C01030" w:rsidRPr="00C007BD" w:rsidRDefault="00C01030" w:rsidP="00000BCF">
      <w:pPr>
        <w:pStyle w:val="ListParagraph"/>
        <w:numPr>
          <w:ilvl w:val="0"/>
          <w:numId w:val="21"/>
        </w:numPr>
        <w:suppressAutoHyphens/>
        <w:spacing w:before="100" w:after="100" w:line="276" w:lineRule="auto"/>
        <w:ind w:right="566"/>
        <w:rPr>
          <w:rFonts w:cstheme="minorHAnsi"/>
        </w:rPr>
      </w:pPr>
      <w:r w:rsidRPr="00C007BD">
        <w:rPr>
          <w:rFonts w:cstheme="minorHAnsi"/>
        </w:rPr>
        <w:t>are likely to have an impact on a broader class of cases,</w:t>
      </w:r>
    </w:p>
    <w:p w14:paraId="75533180" w14:textId="5A43EB17" w:rsidR="00C01030" w:rsidRPr="00C007BD" w:rsidRDefault="00C01030" w:rsidP="00874526">
      <w:pPr>
        <w:spacing w:after="0" w:line="276" w:lineRule="auto"/>
        <w:ind w:left="1134" w:right="-1"/>
        <w:rPr>
          <w:rFonts w:cstheme="minorHAnsi"/>
        </w:rPr>
      </w:pPr>
      <w:r w:rsidRPr="00C007BD">
        <w:rPr>
          <w:rFonts w:cstheme="minorHAnsi"/>
        </w:rPr>
        <w:t>as agreed by the agency and the CDPP, and as resources permit for both agencies.</w:t>
      </w:r>
    </w:p>
    <w:p w14:paraId="7A9EB47B" w14:textId="77777777" w:rsidR="00077B30" w:rsidRPr="00C007BD" w:rsidRDefault="00077B30" w:rsidP="00077B30">
      <w:pPr>
        <w:spacing w:after="0" w:line="276" w:lineRule="auto"/>
        <w:ind w:right="-1" w:firstLine="426"/>
        <w:rPr>
          <w:rFonts w:cstheme="minorHAnsi"/>
        </w:rPr>
      </w:pPr>
    </w:p>
    <w:p w14:paraId="7D79F4DD" w14:textId="14DC1617" w:rsidR="00C01030" w:rsidRPr="00C01030" w:rsidRDefault="00C01030" w:rsidP="00077B30">
      <w:pPr>
        <w:pStyle w:val="ListParagraph"/>
        <w:numPr>
          <w:ilvl w:val="0"/>
          <w:numId w:val="6"/>
        </w:numPr>
        <w:suppressAutoHyphens/>
        <w:spacing w:after="100" w:line="276" w:lineRule="auto"/>
        <w:ind w:right="-1"/>
        <w:rPr>
          <w:rFonts w:cstheme="minorHAnsi"/>
        </w:rPr>
      </w:pPr>
      <w:r w:rsidRPr="00C007BD">
        <w:rPr>
          <w:rFonts w:cstheme="minorHAnsi"/>
        </w:rPr>
        <w:t>The legal advice may pertain to a range of matters, including, the choice of charges, the elements of offences, any substantive impediments to proving the offence and how these might be addressed, identifying particular witnesses who could be spoken to and lines of enquiry that might assist, the seriousness of the offending,</w:t>
      </w:r>
      <w:r w:rsidRPr="00C01030">
        <w:rPr>
          <w:rFonts w:cstheme="minorHAnsi"/>
        </w:rPr>
        <w:t xml:space="preserve"> options for scoping the investigation and any likely public interest considerations. In more complex matters, regular meetings can be scheduled during the ‘brief building phase’ to ensure that the brief that is ultimately served will be in a form and have the content required for an effective </w:t>
      </w:r>
      <w:r w:rsidR="00FB063E">
        <w:rPr>
          <w:rFonts w:cstheme="minorHAnsi"/>
        </w:rPr>
        <w:t xml:space="preserve">and efficient </w:t>
      </w:r>
      <w:r w:rsidRPr="00C01030">
        <w:rPr>
          <w:rFonts w:cstheme="minorHAnsi"/>
        </w:rPr>
        <w:t>prosecution.</w:t>
      </w:r>
    </w:p>
    <w:p w14:paraId="4AB3C183" w14:textId="77777777" w:rsidR="00C01030" w:rsidRPr="00C01030" w:rsidRDefault="00C01030" w:rsidP="00000BCF">
      <w:pPr>
        <w:pStyle w:val="ListParagraph"/>
        <w:spacing w:line="276" w:lineRule="auto"/>
        <w:ind w:right="566"/>
        <w:rPr>
          <w:rFonts w:cstheme="minorHAnsi"/>
        </w:rPr>
      </w:pPr>
    </w:p>
    <w:p w14:paraId="2DBE8289" w14:textId="534E02B7" w:rsidR="00622A1F" w:rsidRDefault="00C01030" w:rsidP="0010005F">
      <w:pPr>
        <w:pStyle w:val="ListParagraph"/>
        <w:numPr>
          <w:ilvl w:val="0"/>
          <w:numId w:val="6"/>
        </w:numPr>
        <w:suppressAutoHyphens/>
        <w:spacing w:after="0" w:line="276" w:lineRule="auto"/>
        <w:ind w:right="-1"/>
        <w:rPr>
          <w:rFonts w:cstheme="minorHAnsi"/>
        </w:rPr>
      </w:pPr>
      <w:r w:rsidRPr="00622A1F">
        <w:rPr>
          <w:rFonts w:cstheme="minorHAnsi"/>
        </w:rPr>
        <w:lastRenderedPageBreak/>
        <w:t>In requesting advice, the investigati</w:t>
      </w:r>
      <w:r w:rsidR="00FB063E" w:rsidRPr="00622A1F">
        <w:rPr>
          <w:rFonts w:cstheme="minorHAnsi"/>
        </w:rPr>
        <w:t>ve</w:t>
      </w:r>
      <w:r w:rsidRPr="00622A1F">
        <w:rPr>
          <w:rFonts w:cstheme="minorHAnsi"/>
        </w:rPr>
        <w:t xml:space="preserve"> agency will need to identify the legal issues and potential offences on which the advice is sought</w:t>
      </w:r>
      <w:r w:rsidR="00FB063E" w:rsidRPr="00622A1F">
        <w:rPr>
          <w:rFonts w:cstheme="minorHAnsi"/>
        </w:rPr>
        <w:t xml:space="preserve">.  The investigative agency will also need to </w:t>
      </w:r>
      <w:r w:rsidRPr="00622A1F">
        <w:rPr>
          <w:rFonts w:cstheme="minorHAnsi"/>
        </w:rPr>
        <w:t xml:space="preserve">provide sufficient </w:t>
      </w:r>
      <w:proofErr w:type="gramStart"/>
      <w:r w:rsidRPr="00622A1F">
        <w:rPr>
          <w:rFonts w:cstheme="minorHAnsi"/>
        </w:rPr>
        <w:t>factual information</w:t>
      </w:r>
      <w:proofErr w:type="gramEnd"/>
      <w:r w:rsidRPr="00622A1F">
        <w:rPr>
          <w:rFonts w:cstheme="minorHAnsi"/>
        </w:rPr>
        <w:t xml:space="preserve"> against which to frame the advice given. </w:t>
      </w:r>
      <w:r w:rsidR="00FB063E" w:rsidRPr="00622A1F">
        <w:rPr>
          <w:rFonts w:cstheme="minorHAnsi"/>
        </w:rPr>
        <w:t xml:space="preserve">Requests for legal advice in more complex matters </w:t>
      </w:r>
      <w:r w:rsidRPr="00622A1F">
        <w:rPr>
          <w:rFonts w:cstheme="minorHAnsi"/>
        </w:rPr>
        <w:t xml:space="preserve">should </w:t>
      </w:r>
      <w:r w:rsidR="00FB063E" w:rsidRPr="00622A1F">
        <w:rPr>
          <w:rFonts w:cstheme="minorHAnsi"/>
        </w:rPr>
        <w:t xml:space="preserve">always be </w:t>
      </w:r>
      <w:r w:rsidRPr="00622A1F">
        <w:rPr>
          <w:rFonts w:cstheme="minorHAnsi"/>
        </w:rPr>
        <w:t xml:space="preserve">in writing </w:t>
      </w:r>
      <w:r w:rsidR="00FB063E" w:rsidRPr="00622A1F">
        <w:rPr>
          <w:rFonts w:cstheme="minorHAnsi"/>
        </w:rPr>
        <w:t xml:space="preserve">and should </w:t>
      </w:r>
      <w:r w:rsidRPr="00622A1F">
        <w:rPr>
          <w:rFonts w:cstheme="minorHAnsi"/>
        </w:rPr>
        <w:t>provide a briefing paper or a summary briefing note.</w:t>
      </w:r>
    </w:p>
    <w:p w14:paraId="72CB00B1" w14:textId="77777777" w:rsidR="0010005F" w:rsidRPr="0010005F" w:rsidRDefault="0010005F" w:rsidP="0010005F">
      <w:pPr>
        <w:suppressAutoHyphens/>
        <w:spacing w:after="0" w:line="276" w:lineRule="auto"/>
        <w:ind w:right="-1"/>
        <w:rPr>
          <w:rFonts w:cstheme="minorHAnsi"/>
        </w:rPr>
      </w:pPr>
    </w:p>
    <w:p w14:paraId="68359EB0" w14:textId="4855897F" w:rsidR="00C314B5" w:rsidRPr="00C314B5" w:rsidRDefault="00C314B5" w:rsidP="00874526">
      <w:pPr>
        <w:pStyle w:val="NLDheading"/>
      </w:pPr>
      <w:bookmarkStart w:id="5" w:name="_Toc70325314"/>
      <w:r>
        <w:t>Preparing</w:t>
      </w:r>
      <w:r w:rsidR="007E5C8F">
        <w:t xml:space="preserve"> pre-brief </w:t>
      </w:r>
      <w:r w:rsidR="003C732F">
        <w:t>a</w:t>
      </w:r>
      <w:r w:rsidR="007E5C8F">
        <w:t>dvice</w:t>
      </w:r>
      <w:bookmarkEnd w:id="5"/>
    </w:p>
    <w:p w14:paraId="054D5BDD" w14:textId="77777777" w:rsidR="00CB28AE" w:rsidRPr="00CB28AE" w:rsidRDefault="00CB28AE" w:rsidP="00CB28AE">
      <w:pPr>
        <w:pStyle w:val="ListParagraph"/>
        <w:numPr>
          <w:ilvl w:val="0"/>
          <w:numId w:val="35"/>
        </w:numPr>
        <w:suppressAutoHyphens/>
        <w:spacing w:after="0" w:line="276" w:lineRule="auto"/>
        <w:rPr>
          <w:rFonts w:cstheme="minorHAnsi"/>
        </w:rPr>
      </w:pPr>
      <w:r w:rsidRPr="00CB28AE">
        <w:rPr>
          <w:rFonts w:cstheme="minorHAnsi"/>
        </w:rPr>
        <w:t>Absent a complete brief of evidence, it will usually not be possible for the CDPP to give pre-brief legal advice on whether there are reasonable prospects of a conviction in a matter where the CDPP is consulted in the investigative stage.</w:t>
      </w:r>
    </w:p>
    <w:p w14:paraId="03C9D17B" w14:textId="77777777" w:rsidR="00CB28AE" w:rsidRPr="00CB28AE" w:rsidRDefault="00CB28AE" w:rsidP="00CB28AE">
      <w:pPr>
        <w:pStyle w:val="ListParagraph"/>
        <w:suppressAutoHyphens/>
        <w:spacing w:after="0" w:line="276" w:lineRule="auto"/>
        <w:ind w:left="714"/>
        <w:rPr>
          <w:rFonts w:cstheme="minorHAnsi"/>
          <w:sz w:val="20"/>
          <w:szCs w:val="20"/>
        </w:rPr>
      </w:pPr>
    </w:p>
    <w:p w14:paraId="707604E4" w14:textId="77777777" w:rsidR="00CB28AE" w:rsidRPr="00CB28AE" w:rsidRDefault="00CB28AE" w:rsidP="00CB28AE">
      <w:pPr>
        <w:pStyle w:val="ListParagraph"/>
        <w:numPr>
          <w:ilvl w:val="0"/>
          <w:numId w:val="35"/>
        </w:numPr>
        <w:suppressAutoHyphens/>
        <w:spacing w:after="0" w:line="276" w:lineRule="auto"/>
        <w:ind w:left="714" w:hanging="357"/>
        <w:rPr>
          <w:rFonts w:cstheme="minorHAnsi"/>
          <w:color w:val="000000" w:themeColor="text1"/>
        </w:rPr>
      </w:pPr>
      <w:r w:rsidRPr="00CB28AE">
        <w:rPr>
          <w:rFonts w:cstheme="minorHAnsi"/>
        </w:rPr>
        <w:t>Any pre-brief advice provided to an investigative agency should be</w:t>
      </w:r>
      <w:r w:rsidRPr="00CB28AE">
        <w:rPr>
          <w:rFonts w:cstheme="minorHAnsi"/>
          <w:color w:val="000000" w:themeColor="text1"/>
        </w:rPr>
        <w:t xml:space="preserve"> in writing, identify all the physical and fault elements of the offence and make very clear:</w:t>
      </w:r>
    </w:p>
    <w:p w14:paraId="7AA69B48" w14:textId="54693B9C" w:rsidR="00CB28AE" w:rsidRPr="00CB28AE" w:rsidRDefault="00CB28AE" w:rsidP="00CB28AE">
      <w:pPr>
        <w:pStyle w:val="ListParagraph"/>
        <w:numPr>
          <w:ilvl w:val="0"/>
          <w:numId w:val="36"/>
        </w:numPr>
        <w:suppressAutoHyphens/>
        <w:spacing w:after="0" w:line="276" w:lineRule="auto"/>
        <w:rPr>
          <w:rFonts w:cstheme="minorHAnsi"/>
          <w:color w:val="000000" w:themeColor="text1"/>
        </w:rPr>
      </w:pPr>
      <w:r w:rsidRPr="00CB28AE">
        <w:rPr>
          <w:rFonts w:cstheme="minorHAnsi"/>
          <w:color w:val="000000" w:themeColor="text1"/>
        </w:rPr>
        <w:t>what material was provided by the investigative agency when seeking the advice;</w:t>
      </w:r>
      <w:r>
        <w:rPr>
          <w:rFonts w:cstheme="minorHAnsi"/>
          <w:color w:val="000000" w:themeColor="text1"/>
        </w:rPr>
        <w:t xml:space="preserve"> and</w:t>
      </w:r>
    </w:p>
    <w:p w14:paraId="24A63662" w14:textId="77777777" w:rsidR="00CB28AE" w:rsidRPr="00CB28AE" w:rsidRDefault="00CB28AE" w:rsidP="00CB28AE">
      <w:pPr>
        <w:pStyle w:val="ListParagraph"/>
        <w:numPr>
          <w:ilvl w:val="0"/>
          <w:numId w:val="36"/>
        </w:numPr>
        <w:suppressAutoHyphens/>
        <w:spacing w:after="0" w:line="276" w:lineRule="auto"/>
        <w:rPr>
          <w:rFonts w:cstheme="minorHAnsi"/>
        </w:rPr>
      </w:pPr>
      <w:r w:rsidRPr="00CB28AE">
        <w:rPr>
          <w:rFonts w:cstheme="minorHAnsi"/>
        </w:rPr>
        <w:t>the limits of the advice and qualifications or assumptions on which it is based.</w:t>
      </w:r>
    </w:p>
    <w:p w14:paraId="3D122350" w14:textId="77777777" w:rsidR="00C92C1F" w:rsidRPr="00C007BD" w:rsidRDefault="00C92C1F" w:rsidP="00C92C1F">
      <w:pPr>
        <w:tabs>
          <w:tab w:val="left" w:pos="1418"/>
          <w:tab w:val="left" w:pos="1701"/>
        </w:tabs>
        <w:spacing w:after="0" w:line="276" w:lineRule="auto"/>
        <w:ind w:left="1701" w:hanging="708"/>
        <w:rPr>
          <w:rFonts w:cstheme="minorHAnsi"/>
        </w:rPr>
      </w:pPr>
    </w:p>
    <w:p w14:paraId="7BE1783E" w14:textId="009EB8C6" w:rsidR="00C92C1F" w:rsidRPr="00C007BD" w:rsidRDefault="00C92C1F" w:rsidP="00C92C1F">
      <w:pPr>
        <w:pStyle w:val="ListParagraph"/>
        <w:numPr>
          <w:ilvl w:val="0"/>
          <w:numId w:val="6"/>
        </w:numPr>
        <w:tabs>
          <w:tab w:val="left" w:pos="709"/>
        </w:tabs>
        <w:spacing w:after="0" w:line="276" w:lineRule="auto"/>
        <w:rPr>
          <w:rFonts w:cstheme="minorHAnsi"/>
        </w:rPr>
      </w:pPr>
      <w:r w:rsidRPr="00C007BD">
        <w:rPr>
          <w:rFonts w:cstheme="minorHAnsi"/>
        </w:rPr>
        <w:t xml:space="preserve">The material that has been assembled for the consideration of the CDPP </w:t>
      </w:r>
      <w:r w:rsidR="003E7CF3" w:rsidRPr="00C007BD">
        <w:rPr>
          <w:rFonts w:cstheme="minorHAnsi"/>
        </w:rPr>
        <w:t xml:space="preserve">by the </w:t>
      </w:r>
      <w:r w:rsidRPr="00C007BD">
        <w:rPr>
          <w:rFonts w:cstheme="minorHAnsi"/>
        </w:rPr>
        <w:t>investigati</w:t>
      </w:r>
      <w:r w:rsidR="003E7CF3" w:rsidRPr="00C007BD">
        <w:rPr>
          <w:rFonts w:cstheme="minorHAnsi"/>
        </w:rPr>
        <w:t xml:space="preserve">ve agency may provide an </w:t>
      </w:r>
      <w:r w:rsidRPr="00C007BD">
        <w:rPr>
          <w:rFonts w:cstheme="minorHAnsi"/>
        </w:rPr>
        <w:t xml:space="preserve">inadequate </w:t>
      </w:r>
      <w:r w:rsidR="003E7CF3" w:rsidRPr="00C007BD">
        <w:rPr>
          <w:rFonts w:cstheme="minorHAnsi"/>
        </w:rPr>
        <w:t xml:space="preserve">platform on which to provide any substantive legal advice on the merits or otherwise of a matter.  Where this is the case, the CDPP should decline to provide legal advice and explain the reasons why a qualitive assessment is not possible.  </w:t>
      </w:r>
      <w:r w:rsidRPr="00C007BD">
        <w:rPr>
          <w:rFonts w:cstheme="minorHAnsi"/>
        </w:rPr>
        <w:t>In some instances</w:t>
      </w:r>
      <w:r w:rsidR="003E7CF3" w:rsidRPr="00C007BD">
        <w:rPr>
          <w:rFonts w:cstheme="minorHAnsi"/>
        </w:rPr>
        <w:t>,</w:t>
      </w:r>
      <w:r w:rsidRPr="00C007BD">
        <w:rPr>
          <w:rFonts w:cstheme="minorHAnsi"/>
        </w:rPr>
        <w:t xml:space="preserve"> it will </w:t>
      </w:r>
      <w:r w:rsidR="003E7CF3" w:rsidRPr="00C007BD">
        <w:rPr>
          <w:rFonts w:cstheme="minorHAnsi"/>
        </w:rPr>
        <w:t xml:space="preserve">still </w:t>
      </w:r>
      <w:r w:rsidRPr="00C007BD">
        <w:rPr>
          <w:rFonts w:cstheme="minorHAnsi"/>
        </w:rPr>
        <w:t xml:space="preserve">be </w:t>
      </w:r>
      <w:r w:rsidR="003E7CF3" w:rsidRPr="00C007BD">
        <w:rPr>
          <w:rFonts w:cstheme="minorHAnsi"/>
        </w:rPr>
        <w:t xml:space="preserve">possible for the CDPP to </w:t>
      </w:r>
      <w:proofErr w:type="gramStart"/>
      <w:r w:rsidR="003E7CF3" w:rsidRPr="00C007BD">
        <w:rPr>
          <w:rFonts w:cstheme="minorHAnsi"/>
        </w:rPr>
        <w:t xml:space="preserve">provide </w:t>
      </w:r>
      <w:r w:rsidRPr="00C007BD">
        <w:rPr>
          <w:rFonts w:cstheme="minorHAnsi"/>
        </w:rPr>
        <w:t>assistance to</w:t>
      </w:r>
      <w:proofErr w:type="gramEnd"/>
      <w:r w:rsidRPr="00C007BD">
        <w:rPr>
          <w:rFonts w:cstheme="minorHAnsi"/>
        </w:rPr>
        <w:t xml:space="preserve"> the investigat</w:t>
      </w:r>
      <w:r w:rsidR="003E7CF3" w:rsidRPr="00C007BD">
        <w:rPr>
          <w:rFonts w:cstheme="minorHAnsi"/>
        </w:rPr>
        <w:t>ive</w:t>
      </w:r>
      <w:r w:rsidRPr="00C007BD">
        <w:rPr>
          <w:rFonts w:cstheme="minorHAnsi"/>
        </w:rPr>
        <w:t xml:space="preserve"> agency </w:t>
      </w:r>
      <w:r w:rsidR="003E7CF3" w:rsidRPr="00C007BD">
        <w:rPr>
          <w:rFonts w:cstheme="minorHAnsi"/>
        </w:rPr>
        <w:t xml:space="preserve">in the form of offence guides and </w:t>
      </w:r>
      <w:r w:rsidRPr="00C007BD">
        <w:rPr>
          <w:rFonts w:cstheme="minorHAnsi"/>
        </w:rPr>
        <w:t>areas of deficiency</w:t>
      </w:r>
      <w:r w:rsidR="003E7CF3" w:rsidRPr="00C007BD">
        <w:rPr>
          <w:rFonts w:cstheme="minorHAnsi"/>
        </w:rPr>
        <w:t xml:space="preserve"> </w:t>
      </w:r>
      <w:r w:rsidR="00685894" w:rsidRPr="00C007BD">
        <w:rPr>
          <w:rFonts w:cstheme="minorHAnsi"/>
        </w:rPr>
        <w:t>to be</w:t>
      </w:r>
      <w:r w:rsidRPr="00C007BD">
        <w:rPr>
          <w:rFonts w:cstheme="minorHAnsi"/>
        </w:rPr>
        <w:t xml:space="preserve"> addressed.</w:t>
      </w:r>
    </w:p>
    <w:p w14:paraId="6380B128" w14:textId="77777777" w:rsidR="00C92C1F" w:rsidRPr="00C007BD" w:rsidRDefault="00C92C1F" w:rsidP="00C92C1F">
      <w:pPr>
        <w:pStyle w:val="ListParagraph"/>
        <w:tabs>
          <w:tab w:val="left" w:pos="709"/>
        </w:tabs>
        <w:spacing w:after="0" w:line="276" w:lineRule="auto"/>
        <w:ind w:left="3"/>
        <w:rPr>
          <w:rFonts w:cstheme="minorHAnsi"/>
        </w:rPr>
      </w:pPr>
    </w:p>
    <w:p w14:paraId="0D1A861C" w14:textId="6423330F" w:rsidR="00C01030" w:rsidRPr="00C007BD" w:rsidRDefault="00C314B5" w:rsidP="00C92C1F">
      <w:pPr>
        <w:pStyle w:val="ListParagraph"/>
        <w:numPr>
          <w:ilvl w:val="0"/>
          <w:numId w:val="6"/>
        </w:numPr>
        <w:tabs>
          <w:tab w:val="left" w:pos="709"/>
        </w:tabs>
        <w:spacing w:after="0" w:line="276" w:lineRule="auto"/>
        <w:rPr>
          <w:rFonts w:cstheme="minorHAnsi"/>
        </w:rPr>
      </w:pPr>
      <w:r w:rsidRPr="00C007BD">
        <w:rPr>
          <w:rFonts w:cstheme="minorHAnsi"/>
        </w:rPr>
        <w:t xml:space="preserve">Expressing a view on whether there is likely to be a reasonable prospect of a conviction prior to receiving a brief of evidence is fraught with difficulty and </w:t>
      </w:r>
      <w:r w:rsidR="008357E1" w:rsidRPr="00C007BD">
        <w:rPr>
          <w:rFonts w:cstheme="minorHAnsi"/>
        </w:rPr>
        <w:t xml:space="preserve">will usually </w:t>
      </w:r>
      <w:r w:rsidRPr="00C007BD">
        <w:rPr>
          <w:rFonts w:cstheme="minorHAnsi"/>
        </w:rPr>
        <w:t xml:space="preserve">not be possible. It follows that it is appropriate and expected when giving legal advice in the investigative stage and prior to the referral of a completed brief of evidence on whether the Prosecution Policy test is made out, that the </w:t>
      </w:r>
      <w:r w:rsidR="00D46F53" w:rsidRPr="00C007BD">
        <w:rPr>
          <w:rFonts w:cstheme="minorHAnsi"/>
        </w:rPr>
        <w:t>case officer</w:t>
      </w:r>
      <w:r w:rsidRPr="00C007BD">
        <w:rPr>
          <w:rFonts w:cstheme="minorHAnsi"/>
        </w:rPr>
        <w:t xml:space="preserve"> will involve and consult with their PTL and/or Branch Head before expressing any view.  This applies equally to urgent and non-urgent matters. </w:t>
      </w:r>
      <w:r w:rsidR="00896703" w:rsidRPr="00C007BD">
        <w:rPr>
          <w:rFonts w:cstheme="minorHAnsi"/>
          <w:color w:val="000000"/>
        </w:rPr>
        <w:t>If the matter has national implications</w:t>
      </w:r>
      <w:r w:rsidR="008357E1" w:rsidRPr="00C007BD">
        <w:rPr>
          <w:rFonts w:cstheme="minorHAnsi"/>
          <w:color w:val="000000"/>
        </w:rPr>
        <w:t>,</w:t>
      </w:r>
      <w:r w:rsidR="00896703" w:rsidRPr="00C007BD">
        <w:rPr>
          <w:rFonts w:cstheme="minorHAnsi"/>
          <w:color w:val="000000"/>
        </w:rPr>
        <w:t xml:space="preserve"> the </w:t>
      </w:r>
      <w:r w:rsidR="00D46F53" w:rsidRPr="00C007BD">
        <w:rPr>
          <w:rFonts w:cstheme="minorHAnsi"/>
          <w:color w:val="000000"/>
        </w:rPr>
        <w:t>case officer</w:t>
      </w:r>
      <w:r w:rsidR="00896703" w:rsidRPr="00C007BD">
        <w:rPr>
          <w:rFonts w:cstheme="minorHAnsi"/>
          <w:color w:val="000000"/>
        </w:rPr>
        <w:t xml:space="preserve"> should also consult with the relevant Practice Group Leader before finalising the advice. </w:t>
      </w:r>
      <w:r w:rsidR="00C01030" w:rsidRPr="00C007BD">
        <w:rPr>
          <w:rFonts w:cstheme="minorHAnsi"/>
          <w:color w:val="000000"/>
        </w:rPr>
        <w:t xml:space="preserve">The advice should be settled by the </w:t>
      </w:r>
      <w:r w:rsidR="00D46F53" w:rsidRPr="00C007BD">
        <w:rPr>
          <w:rFonts w:cstheme="minorHAnsi"/>
          <w:color w:val="000000"/>
        </w:rPr>
        <w:t>case officer’s</w:t>
      </w:r>
      <w:r w:rsidR="00C01030" w:rsidRPr="00C007BD">
        <w:rPr>
          <w:rFonts w:cstheme="minorHAnsi"/>
          <w:color w:val="000000"/>
        </w:rPr>
        <w:t xml:space="preserve"> Branch Head before it is provided to the agency.</w:t>
      </w:r>
      <w:r w:rsidR="00C01030" w:rsidRPr="00C007BD">
        <w:rPr>
          <w:rStyle w:val="FootnoteReference"/>
          <w:rFonts w:cstheme="minorHAnsi"/>
          <w:color w:val="000000"/>
        </w:rPr>
        <w:footnoteReference w:id="2"/>
      </w:r>
    </w:p>
    <w:p w14:paraId="4C1EB097" w14:textId="77777777" w:rsidR="00C314B5" w:rsidRPr="00C007BD" w:rsidRDefault="00C314B5" w:rsidP="00C314B5">
      <w:pPr>
        <w:pStyle w:val="ListParagraph"/>
        <w:tabs>
          <w:tab w:val="left" w:pos="709"/>
        </w:tabs>
        <w:spacing w:after="0" w:line="276" w:lineRule="auto"/>
        <w:ind w:left="3"/>
        <w:rPr>
          <w:rFonts w:cstheme="minorHAnsi"/>
        </w:rPr>
      </w:pPr>
    </w:p>
    <w:p w14:paraId="4C7863AF" w14:textId="63DAAF66" w:rsidR="00C01030" w:rsidRPr="00C007BD" w:rsidRDefault="00C01030" w:rsidP="00000BCF">
      <w:pPr>
        <w:pStyle w:val="ListParagraph"/>
        <w:numPr>
          <w:ilvl w:val="0"/>
          <w:numId w:val="6"/>
        </w:numPr>
        <w:tabs>
          <w:tab w:val="left" w:pos="709"/>
        </w:tabs>
        <w:spacing w:after="0" w:line="276" w:lineRule="auto"/>
        <w:rPr>
          <w:rFonts w:cstheme="minorHAnsi"/>
        </w:rPr>
      </w:pPr>
      <w:r w:rsidRPr="00C007BD">
        <w:rPr>
          <w:rFonts w:cstheme="minorHAnsi"/>
        </w:rPr>
        <w:t xml:space="preserve">In some circumstances it may not be possible to give legal advice in the time </w:t>
      </w:r>
      <w:r w:rsidR="0010005F">
        <w:rPr>
          <w:rFonts w:cstheme="minorHAnsi"/>
        </w:rPr>
        <w:t xml:space="preserve">required by the investigative agency </w:t>
      </w:r>
      <w:r w:rsidRPr="00C007BD">
        <w:rPr>
          <w:rFonts w:cstheme="minorHAnsi"/>
        </w:rPr>
        <w:t>and</w:t>
      </w:r>
      <w:r w:rsidR="008357E1" w:rsidRPr="00C007BD">
        <w:rPr>
          <w:rFonts w:cstheme="minorHAnsi"/>
        </w:rPr>
        <w:t>,</w:t>
      </w:r>
      <w:r w:rsidRPr="00C007BD">
        <w:rPr>
          <w:rFonts w:cstheme="minorHAnsi"/>
        </w:rPr>
        <w:t xml:space="preserve"> in such circumstances, </w:t>
      </w:r>
      <w:r w:rsidR="008357E1" w:rsidRPr="00C007BD">
        <w:rPr>
          <w:rFonts w:cstheme="minorHAnsi"/>
        </w:rPr>
        <w:t xml:space="preserve">the CDPP should decline to provide the </w:t>
      </w:r>
      <w:r w:rsidRPr="00C007BD">
        <w:rPr>
          <w:rFonts w:cstheme="minorHAnsi"/>
        </w:rPr>
        <w:t>advice.</w:t>
      </w:r>
    </w:p>
    <w:p w14:paraId="334E08CB" w14:textId="77777777" w:rsidR="00C314B5" w:rsidRPr="00C007BD" w:rsidRDefault="00C314B5" w:rsidP="00C314B5">
      <w:pPr>
        <w:tabs>
          <w:tab w:val="left" w:pos="709"/>
        </w:tabs>
        <w:spacing w:after="0" w:line="276" w:lineRule="auto"/>
        <w:rPr>
          <w:rFonts w:cstheme="minorHAnsi"/>
        </w:rPr>
      </w:pPr>
    </w:p>
    <w:p w14:paraId="1F6A4C15" w14:textId="6DFDC3BF" w:rsidR="00C92C1F" w:rsidRPr="00C007BD" w:rsidRDefault="00C314B5" w:rsidP="00662D30">
      <w:pPr>
        <w:pStyle w:val="ListParagraph"/>
        <w:numPr>
          <w:ilvl w:val="0"/>
          <w:numId w:val="6"/>
        </w:numPr>
        <w:suppressAutoHyphens/>
        <w:spacing w:after="100" w:line="276" w:lineRule="auto"/>
        <w:ind w:right="-1"/>
      </w:pPr>
      <w:r w:rsidRPr="00622A1F">
        <w:rPr>
          <w:rFonts w:cstheme="minorHAnsi"/>
          <w:color w:val="000000"/>
        </w:rPr>
        <w:t xml:space="preserve">The CDPP is </w:t>
      </w:r>
      <w:r w:rsidR="008357E1" w:rsidRPr="00622A1F">
        <w:rPr>
          <w:rFonts w:cstheme="minorHAnsi"/>
          <w:color w:val="000000"/>
        </w:rPr>
        <w:t xml:space="preserve">always </w:t>
      </w:r>
      <w:r w:rsidRPr="00622A1F">
        <w:rPr>
          <w:rFonts w:cstheme="minorHAnsi"/>
          <w:color w:val="000000"/>
        </w:rPr>
        <w:t xml:space="preserve">available to discuss </w:t>
      </w:r>
      <w:r w:rsidR="00AF4142" w:rsidRPr="00622A1F">
        <w:rPr>
          <w:rFonts w:cstheme="minorHAnsi"/>
          <w:color w:val="000000"/>
        </w:rPr>
        <w:t xml:space="preserve">a matter </w:t>
      </w:r>
      <w:r w:rsidRPr="00622A1F">
        <w:rPr>
          <w:rFonts w:cstheme="minorHAnsi"/>
          <w:color w:val="000000"/>
        </w:rPr>
        <w:t xml:space="preserve">in general terms with an agency and provide the agency with an indication of the issues that may arise for consideration or deal with any straightforward issues. Any thoughts expressed in such a discussion or consultation are on the basis that they represent a best view on the information provided and are not determinative of a more informed CDPP view.  </w:t>
      </w:r>
      <w:r w:rsidRPr="00622A1F">
        <w:rPr>
          <w:rFonts w:cs="Calibri"/>
        </w:rPr>
        <w:t xml:space="preserve">Any </w:t>
      </w:r>
      <w:r w:rsidR="008357E1" w:rsidRPr="00622A1F">
        <w:rPr>
          <w:rFonts w:cs="Calibri"/>
        </w:rPr>
        <w:t xml:space="preserve">pre-brief </w:t>
      </w:r>
      <w:r w:rsidRPr="00622A1F">
        <w:rPr>
          <w:rFonts w:cs="Calibri"/>
        </w:rPr>
        <w:t xml:space="preserve">advice </w:t>
      </w:r>
      <w:r w:rsidR="008357E1" w:rsidRPr="00622A1F">
        <w:rPr>
          <w:rFonts w:cs="Calibri"/>
        </w:rPr>
        <w:t xml:space="preserve">should be provided in writing.  Where pre-brief advice is </w:t>
      </w:r>
      <w:r w:rsidRPr="00622A1F">
        <w:rPr>
          <w:rFonts w:cs="Calibri"/>
        </w:rPr>
        <w:t xml:space="preserve">provided orally </w:t>
      </w:r>
      <w:r w:rsidR="008357E1" w:rsidRPr="00622A1F">
        <w:rPr>
          <w:rFonts w:cs="Calibri"/>
        </w:rPr>
        <w:t xml:space="preserve">in urgent circumstances, it should be the subject of pre-approval by a Branch Head and </w:t>
      </w:r>
      <w:r w:rsidRPr="00622A1F">
        <w:rPr>
          <w:rFonts w:cs="Calibri"/>
        </w:rPr>
        <w:t>must be confirmed in writing at the earliest possibility.</w:t>
      </w:r>
    </w:p>
    <w:p w14:paraId="2A067214" w14:textId="77777777" w:rsidR="0010005F" w:rsidRDefault="0010005F" w:rsidP="002936E7">
      <w:bookmarkStart w:id="6" w:name="_Toc70325315"/>
    </w:p>
    <w:p w14:paraId="1CFABDCF" w14:textId="5F1B011C" w:rsidR="00896703" w:rsidRPr="00C007BD" w:rsidRDefault="00896703" w:rsidP="00896703">
      <w:pPr>
        <w:pStyle w:val="NLDheading"/>
      </w:pPr>
      <w:r w:rsidRPr="00C007BD">
        <w:lastRenderedPageBreak/>
        <w:t>Approval by Branch Head</w:t>
      </w:r>
      <w:bookmarkEnd w:id="6"/>
    </w:p>
    <w:p w14:paraId="5A50717C" w14:textId="77777777" w:rsidR="00896703" w:rsidRPr="00C007BD" w:rsidRDefault="00896703" w:rsidP="00896703">
      <w:pPr>
        <w:pStyle w:val="ListParagraph"/>
        <w:numPr>
          <w:ilvl w:val="0"/>
          <w:numId w:val="6"/>
        </w:numPr>
        <w:spacing w:after="0"/>
        <w:rPr>
          <w:rFonts w:cs="Calibri"/>
          <w:color w:val="000000"/>
        </w:rPr>
      </w:pPr>
      <w:r w:rsidRPr="00C007BD">
        <w:rPr>
          <w:rFonts w:cs="Calibri"/>
          <w:color w:val="000000"/>
        </w:rPr>
        <w:t xml:space="preserve">The Decision-Making Matrix (DMM 1.1) requires a Branch Head to make the decision to provide pre-brief advice to a partner agency. This decision should be made as soon as practicable after the request and all relevant material supporting the request has been received. </w:t>
      </w:r>
    </w:p>
    <w:p w14:paraId="5B1E803B" w14:textId="77777777" w:rsidR="00896703" w:rsidRPr="00C007BD" w:rsidRDefault="00896703" w:rsidP="00896703">
      <w:pPr>
        <w:pStyle w:val="ListParagraph"/>
        <w:rPr>
          <w:rFonts w:cs="Calibri"/>
          <w:color w:val="000000"/>
        </w:rPr>
      </w:pPr>
    </w:p>
    <w:p w14:paraId="3C2A3DA3" w14:textId="0A5CB6F2" w:rsidR="00896703" w:rsidRPr="00C007BD" w:rsidRDefault="00896703" w:rsidP="00896703">
      <w:pPr>
        <w:pStyle w:val="ListParagraph"/>
        <w:numPr>
          <w:ilvl w:val="0"/>
          <w:numId w:val="6"/>
        </w:numPr>
        <w:spacing w:after="0"/>
        <w:rPr>
          <w:rFonts w:cs="Calibri"/>
          <w:color w:val="000000"/>
        </w:rPr>
      </w:pPr>
      <w:r w:rsidRPr="00C007BD">
        <w:rPr>
          <w:rFonts w:cs="Calibri"/>
          <w:color w:val="000000"/>
        </w:rPr>
        <w:t>If pre-brief advice is to be provided, the content must be approved by either a Branch Head or a Princip</w:t>
      </w:r>
      <w:r w:rsidR="00BD4BF0" w:rsidRPr="00C007BD">
        <w:rPr>
          <w:rFonts w:cs="Calibri"/>
          <w:color w:val="000000"/>
        </w:rPr>
        <w:t xml:space="preserve">al </w:t>
      </w:r>
      <w:r w:rsidRPr="00C007BD">
        <w:rPr>
          <w:rFonts w:cs="Calibri"/>
          <w:color w:val="000000"/>
        </w:rPr>
        <w:t>Federal Prosecutor (PFP) following consultation with a Branch Head (DMM 1.2). This is subject to the following matters in which the advice must be approved by a Branch Head in every case:</w:t>
      </w:r>
    </w:p>
    <w:p w14:paraId="3B8B66C3" w14:textId="77777777" w:rsidR="00896703" w:rsidRPr="00C007BD" w:rsidRDefault="00896703" w:rsidP="00896703">
      <w:pPr>
        <w:pStyle w:val="ListParagraph"/>
        <w:numPr>
          <w:ilvl w:val="0"/>
          <w:numId w:val="13"/>
        </w:numPr>
        <w:spacing w:before="120" w:after="0"/>
        <w:ind w:left="1077" w:hanging="357"/>
        <w:contextualSpacing w:val="0"/>
        <w:rPr>
          <w:rFonts w:cs="Calibri"/>
          <w:color w:val="000000"/>
        </w:rPr>
      </w:pPr>
      <w:r w:rsidRPr="00C007BD">
        <w:rPr>
          <w:rFonts w:cs="Calibri"/>
          <w:color w:val="000000"/>
        </w:rPr>
        <w:t xml:space="preserve">Matters involving juvenile </w:t>
      </w:r>
      <w:proofErr w:type="gramStart"/>
      <w:r w:rsidRPr="00C007BD">
        <w:rPr>
          <w:rFonts w:cs="Calibri"/>
          <w:color w:val="000000"/>
        </w:rPr>
        <w:t>accused;</w:t>
      </w:r>
      <w:proofErr w:type="gramEnd"/>
    </w:p>
    <w:p w14:paraId="6DF22ACB" w14:textId="1B4C3116" w:rsidR="00896703" w:rsidRPr="00C007BD" w:rsidRDefault="008357E1" w:rsidP="00896703">
      <w:pPr>
        <w:pStyle w:val="ListParagraph"/>
        <w:numPr>
          <w:ilvl w:val="0"/>
          <w:numId w:val="13"/>
        </w:numPr>
        <w:spacing w:after="0"/>
        <w:rPr>
          <w:rFonts w:cs="Calibri"/>
          <w:color w:val="000000"/>
        </w:rPr>
      </w:pPr>
      <w:r w:rsidRPr="00C007BD">
        <w:rPr>
          <w:rFonts w:cs="Calibri"/>
          <w:color w:val="000000"/>
        </w:rPr>
        <w:t xml:space="preserve">All OCCT Practice Group </w:t>
      </w:r>
      <w:proofErr w:type="gramStart"/>
      <w:r w:rsidRPr="00C007BD">
        <w:rPr>
          <w:rFonts w:cs="Calibri"/>
          <w:color w:val="000000"/>
        </w:rPr>
        <w:t xml:space="preserve">matters </w:t>
      </w:r>
      <w:r w:rsidR="00896703" w:rsidRPr="00C007BD">
        <w:rPr>
          <w:rFonts w:cs="Calibri"/>
          <w:color w:val="000000"/>
        </w:rPr>
        <w:t>;</w:t>
      </w:r>
      <w:proofErr w:type="gramEnd"/>
    </w:p>
    <w:p w14:paraId="7E60936C" w14:textId="77777777" w:rsidR="00896703" w:rsidRPr="00C007BD" w:rsidRDefault="00896703" w:rsidP="00896703">
      <w:pPr>
        <w:pStyle w:val="ListParagraph"/>
        <w:numPr>
          <w:ilvl w:val="0"/>
          <w:numId w:val="13"/>
        </w:numPr>
        <w:spacing w:after="0"/>
        <w:rPr>
          <w:rFonts w:cs="Calibri"/>
          <w:color w:val="000000"/>
        </w:rPr>
      </w:pPr>
      <w:r w:rsidRPr="00C007BD">
        <w:rPr>
          <w:rFonts w:cs="Calibri"/>
          <w:color w:val="000000"/>
        </w:rPr>
        <w:t xml:space="preserve">Matters that are high profile, involve sensitive issues or significant public policy </w:t>
      </w:r>
      <w:proofErr w:type="gramStart"/>
      <w:r w:rsidRPr="00C007BD">
        <w:rPr>
          <w:rFonts w:cs="Calibri"/>
          <w:color w:val="000000"/>
        </w:rPr>
        <w:t>issues;</w:t>
      </w:r>
      <w:proofErr w:type="gramEnd"/>
    </w:p>
    <w:p w14:paraId="5A0482CE" w14:textId="77777777" w:rsidR="00896703" w:rsidRPr="00C007BD" w:rsidRDefault="00896703" w:rsidP="00896703">
      <w:pPr>
        <w:pStyle w:val="ListParagraph"/>
        <w:numPr>
          <w:ilvl w:val="0"/>
          <w:numId w:val="13"/>
        </w:numPr>
        <w:spacing w:after="0"/>
        <w:rPr>
          <w:rFonts w:cs="Calibri"/>
          <w:color w:val="000000"/>
        </w:rPr>
      </w:pPr>
      <w:r w:rsidRPr="00C007BD">
        <w:rPr>
          <w:rFonts w:cs="Calibri"/>
          <w:color w:val="000000"/>
        </w:rPr>
        <w:t>Matters that are politically sensitive; and</w:t>
      </w:r>
    </w:p>
    <w:p w14:paraId="7A1AFA50" w14:textId="77777777" w:rsidR="00896703" w:rsidRPr="00C007BD" w:rsidRDefault="00896703" w:rsidP="00896703">
      <w:pPr>
        <w:pStyle w:val="ListParagraph"/>
        <w:numPr>
          <w:ilvl w:val="0"/>
          <w:numId w:val="13"/>
        </w:numPr>
        <w:spacing w:after="0"/>
        <w:rPr>
          <w:rFonts w:cs="Calibri"/>
          <w:color w:val="000000"/>
        </w:rPr>
      </w:pPr>
      <w:r w:rsidRPr="00C007BD">
        <w:rPr>
          <w:rFonts w:cs="Calibri"/>
          <w:color w:val="000000"/>
        </w:rPr>
        <w:t xml:space="preserve">Matters that could be considered contentious. </w:t>
      </w:r>
    </w:p>
    <w:p w14:paraId="1FF4A0AB" w14:textId="6DFDF146" w:rsidR="004B0247" w:rsidRPr="00C007BD" w:rsidRDefault="004B0247" w:rsidP="007C3D58"/>
    <w:p w14:paraId="5A248395" w14:textId="2B6E3B17" w:rsidR="00B96B58" w:rsidRPr="00C007BD" w:rsidRDefault="008357E1" w:rsidP="00B96B58">
      <w:pPr>
        <w:pStyle w:val="NLDheading"/>
      </w:pPr>
      <w:bookmarkStart w:id="7" w:name="_Toc70325316"/>
      <w:r w:rsidRPr="00C007BD">
        <w:t xml:space="preserve">OCCT </w:t>
      </w:r>
      <w:r w:rsidR="00B96B58" w:rsidRPr="00C007BD">
        <w:t>matters</w:t>
      </w:r>
      <w:bookmarkEnd w:id="7"/>
    </w:p>
    <w:p w14:paraId="37ACC9CA" w14:textId="7811D688" w:rsidR="00896703" w:rsidRPr="00C01030" w:rsidRDefault="00B96B58" w:rsidP="00896703">
      <w:pPr>
        <w:pStyle w:val="ListParagraph"/>
        <w:numPr>
          <w:ilvl w:val="0"/>
          <w:numId w:val="6"/>
        </w:numPr>
        <w:suppressAutoHyphens/>
        <w:spacing w:before="100" w:after="100" w:line="276" w:lineRule="auto"/>
        <w:rPr>
          <w:rFonts w:cstheme="minorHAnsi"/>
          <w:color w:val="404040" w:themeColor="text1" w:themeTint="BF"/>
        </w:rPr>
      </w:pPr>
      <w:r w:rsidRPr="00C007BD">
        <w:rPr>
          <w:rFonts w:cstheme="minorHAnsi"/>
        </w:rPr>
        <w:t>S</w:t>
      </w:r>
      <w:r w:rsidR="00896703" w:rsidRPr="00C007BD">
        <w:rPr>
          <w:rFonts w:cstheme="minorHAnsi"/>
        </w:rPr>
        <w:t xml:space="preserve">pecial arrangements </w:t>
      </w:r>
      <w:r w:rsidR="008357E1" w:rsidRPr="00C007BD">
        <w:rPr>
          <w:rFonts w:cstheme="minorHAnsi"/>
        </w:rPr>
        <w:t xml:space="preserve">exist </w:t>
      </w:r>
      <w:r w:rsidR="00896703" w:rsidRPr="00C007BD">
        <w:rPr>
          <w:rFonts w:cstheme="minorHAnsi"/>
        </w:rPr>
        <w:t xml:space="preserve">for the provision of pre-brief </w:t>
      </w:r>
      <w:r w:rsidR="008357E1" w:rsidRPr="00C007BD">
        <w:rPr>
          <w:rFonts w:cstheme="minorHAnsi"/>
        </w:rPr>
        <w:t xml:space="preserve">legal </w:t>
      </w:r>
      <w:r w:rsidR="00896703" w:rsidRPr="00C007BD">
        <w:rPr>
          <w:rFonts w:cstheme="minorHAnsi"/>
        </w:rPr>
        <w:t xml:space="preserve">advice </w:t>
      </w:r>
      <w:r w:rsidR="008357E1" w:rsidRPr="00C007BD">
        <w:rPr>
          <w:rFonts w:cstheme="minorHAnsi"/>
        </w:rPr>
        <w:t>in all OCCT matters.  These</w:t>
      </w:r>
      <w:r w:rsidR="008357E1">
        <w:rPr>
          <w:rFonts w:cstheme="minorHAnsi"/>
        </w:rPr>
        <w:t xml:space="preserve"> arrangements are </w:t>
      </w:r>
      <w:r w:rsidR="00896703" w:rsidRPr="00C01030">
        <w:rPr>
          <w:rFonts w:cstheme="minorHAnsi"/>
        </w:rPr>
        <w:t xml:space="preserve">set out in the </w:t>
      </w:r>
      <w:hyperlink r:id="rId8" w:history="1">
        <w:r w:rsidR="00AF4142" w:rsidRPr="00AF4142">
          <w:rPr>
            <w:rStyle w:val="Hyperlink"/>
            <w:rFonts w:cstheme="minorHAnsi"/>
          </w:rPr>
          <w:t>Practice Group Instruction OCCT - 02 Providing qualified pre-brief advice in counter-terrorism matters</w:t>
        </w:r>
      </w:hyperlink>
      <w:r w:rsidR="002A36D9">
        <w:rPr>
          <w:rFonts w:cstheme="minorHAnsi"/>
        </w:rPr>
        <w:t xml:space="preserve"> and </w:t>
      </w:r>
      <w:hyperlink r:id="rId9" w:history="1">
        <w:r w:rsidR="00174423" w:rsidRPr="00174423">
          <w:rPr>
            <w:rStyle w:val="Hyperlink"/>
            <w:rFonts w:cstheme="minorHAnsi"/>
          </w:rPr>
          <w:t>Counter-Terrorism Qualified Advice (Evidence) Guidelines</w:t>
        </w:r>
      </w:hyperlink>
      <w:r w:rsidR="00896703" w:rsidRPr="00C01030">
        <w:rPr>
          <w:rFonts w:cstheme="minorHAnsi"/>
        </w:rPr>
        <w:t xml:space="preserve">. </w:t>
      </w:r>
    </w:p>
    <w:p w14:paraId="3AAC1221" w14:textId="77777777" w:rsidR="00ED5AA9" w:rsidRPr="006D61EC" w:rsidRDefault="00ED5AA9" w:rsidP="00000BCF">
      <w:pPr>
        <w:tabs>
          <w:tab w:val="left" w:pos="0"/>
        </w:tabs>
        <w:spacing w:before="60" w:after="60" w:line="240" w:lineRule="auto"/>
        <w:rPr>
          <w:rFonts w:cs="Calibri"/>
        </w:rPr>
      </w:pPr>
    </w:p>
    <w:p w14:paraId="1A811AB4" w14:textId="7B9DF840" w:rsidR="00696A69" w:rsidRDefault="00696A69" w:rsidP="0010005F">
      <w:pPr>
        <w:pStyle w:val="NLDheading"/>
      </w:pPr>
      <w:bookmarkStart w:id="8" w:name="_Toc70325317"/>
      <w:r>
        <w:t>File management and record keeping</w:t>
      </w:r>
      <w:bookmarkEnd w:id="8"/>
      <w:r>
        <w:t xml:space="preserve"> </w:t>
      </w:r>
    </w:p>
    <w:p w14:paraId="5F86E684" w14:textId="72D00496" w:rsidR="00607DE5" w:rsidRDefault="00696A69" w:rsidP="0002048D">
      <w:pPr>
        <w:pStyle w:val="ListParagraph"/>
        <w:numPr>
          <w:ilvl w:val="0"/>
          <w:numId w:val="6"/>
        </w:numPr>
        <w:suppressAutoHyphens/>
        <w:spacing w:before="100" w:after="100" w:line="276" w:lineRule="auto"/>
        <w:rPr>
          <w:rFonts w:cstheme="minorHAnsi"/>
          <w:color w:val="000000" w:themeColor="text1"/>
        </w:rPr>
      </w:pPr>
      <w:bookmarkStart w:id="9" w:name="_Hlk67649199"/>
      <w:r w:rsidRPr="0008030C">
        <w:rPr>
          <w:rFonts w:cstheme="minorHAnsi"/>
          <w:color w:val="000000" w:themeColor="text1"/>
        </w:rPr>
        <w:t xml:space="preserve">When a </w:t>
      </w:r>
      <w:r w:rsidR="00E55487" w:rsidRPr="0008030C">
        <w:rPr>
          <w:rFonts w:cstheme="minorHAnsi"/>
          <w:color w:val="000000" w:themeColor="text1"/>
        </w:rPr>
        <w:t xml:space="preserve">request for </w:t>
      </w:r>
      <w:r w:rsidRPr="0008030C">
        <w:rPr>
          <w:rFonts w:cstheme="minorHAnsi"/>
          <w:color w:val="000000" w:themeColor="text1"/>
        </w:rPr>
        <w:t xml:space="preserve">pre-brief advice is received, a </w:t>
      </w:r>
      <w:r w:rsidR="001C1251" w:rsidRPr="0008030C">
        <w:rPr>
          <w:rFonts w:cstheme="minorHAnsi"/>
          <w:color w:val="000000" w:themeColor="text1"/>
        </w:rPr>
        <w:t xml:space="preserve">new </w:t>
      </w:r>
      <w:proofErr w:type="spellStart"/>
      <w:r w:rsidRPr="0008030C">
        <w:rPr>
          <w:rFonts w:cstheme="minorHAnsi"/>
          <w:color w:val="000000" w:themeColor="text1"/>
        </w:rPr>
        <w:t>caseHQ</w:t>
      </w:r>
      <w:proofErr w:type="spellEnd"/>
      <w:r w:rsidRPr="0008030C">
        <w:rPr>
          <w:rFonts w:cstheme="minorHAnsi"/>
          <w:color w:val="000000" w:themeColor="text1"/>
        </w:rPr>
        <w:t xml:space="preserve"> </w:t>
      </w:r>
      <w:r w:rsidR="001C1251" w:rsidRPr="0008030C">
        <w:rPr>
          <w:rFonts w:cstheme="minorHAnsi"/>
          <w:color w:val="000000" w:themeColor="text1"/>
        </w:rPr>
        <w:t xml:space="preserve">prosecution file </w:t>
      </w:r>
      <w:r w:rsidRPr="0008030C">
        <w:rPr>
          <w:rFonts w:cstheme="minorHAnsi"/>
          <w:color w:val="000000" w:themeColor="text1"/>
        </w:rPr>
        <w:t xml:space="preserve">should be opened in the </w:t>
      </w:r>
      <w:r w:rsidR="001C1350" w:rsidRPr="0008030C">
        <w:rPr>
          <w:rFonts w:cstheme="minorHAnsi"/>
          <w:color w:val="000000" w:themeColor="text1"/>
        </w:rPr>
        <w:t>“</w:t>
      </w:r>
      <w:r w:rsidRPr="0008030C">
        <w:rPr>
          <w:rFonts w:cstheme="minorHAnsi"/>
          <w:color w:val="000000" w:themeColor="text1"/>
        </w:rPr>
        <w:t>pre-brief</w:t>
      </w:r>
      <w:r w:rsidR="001C1350" w:rsidRPr="0008030C">
        <w:rPr>
          <w:rFonts w:cstheme="minorHAnsi"/>
          <w:color w:val="000000" w:themeColor="text1"/>
        </w:rPr>
        <w:t>”</w:t>
      </w:r>
      <w:r w:rsidRPr="0008030C">
        <w:rPr>
          <w:rFonts w:cstheme="minorHAnsi"/>
          <w:color w:val="000000" w:themeColor="text1"/>
        </w:rPr>
        <w:t xml:space="preserve"> phase</w:t>
      </w:r>
      <w:r w:rsidR="00607DE5">
        <w:rPr>
          <w:rFonts w:cstheme="minorHAnsi"/>
          <w:color w:val="000000" w:themeColor="text1"/>
        </w:rPr>
        <w:t>. Consideration should be given to the appropriate name for the file</w:t>
      </w:r>
      <w:r w:rsidR="0002048D">
        <w:rPr>
          <w:rFonts w:cstheme="minorHAnsi"/>
          <w:color w:val="000000" w:themeColor="text1"/>
        </w:rPr>
        <w:t>,</w:t>
      </w:r>
      <w:r w:rsidR="00607DE5">
        <w:rPr>
          <w:rFonts w:cstheme="minorHAnsi"/>
          <w:color w:val="000000" w:themeColor="text1"/>
        </w:rPr>
        <w:t xml:space="preserve"> having regard to the sensitivity of the investigation</w:t>
      </w:r>
      <w:r w:rsidR="0002048D">
        <w:rPr>
          <w:rFonts w:cstheme="minorHAnsi"/>
          <w:color w:val="000000" w:themeColor="text1"/>
        </w:rPr>
        <w:t xml:space="preserve">, and whether restricted access to the </w:t>
      </w:r>
      <w:proofErr w:type="spellStart"/>
      <w:r w:rsidR="0002048D">
        <w:rPr>
          <w:rFonts w:cstheme="minorHAnsi"/>
          <w:color w:val="000000" w:themeColor="text1"/>
        </w:rPr>
        <w:t>caseHQ</w:t>
      </w:r>
      <w:proofErr w:type="spellEnd"/>
      <w:r w:rsidR="0002048D">
        <w:rPr>
          <w:rFonts w:cstheme="minorHAnsi"/>
          <w:color w:val="000000" w:themeColor="text1"/>
        </w:rPr>
        <w:t xml:space="preserve"> file is necessary</w:t>
      </w:r>
      <w:r w:rsidR="00607DE5">
        <w:rPr>
          <w:rFonts w:cstheme="minorHAnsi"/>
          <w:color w:val="000000" w:themeColor="text1"/>
        </w:rPr>
        <w:t xml:space="preserve">. </w:t>
      </w:r>
    </w:p>
    <w:p w14:paraId="02731B9A" w14:textId="77777777" w:rsidR="00607DE5" w:rsidRDefault="00607DE5" w:rsidP="0002048D">
      <w:pPr>
        <w:pStyle w:val="ListParagraph"/>
        <w:suppressAutoHyphens/>
        <w:spacing w:before="100" w:after="100" w:line="276" w:lineRule="auto"/>
        <w:ind w:left="3"/>
        <w:rPr>
          <w:rFonts w:cstheme="minorHAnsi"/>
          <w:color w:val="000000" w:themeColor="text1"/>
        </w:rPr>
      </w:pPr>
    </w:p>
    <w:p w14:paraId="02F9C222" w14:textId="77777777" w:rsidR="00607DE5" w:rsidRDefault="00607DE5" w:rsidP="0002048D">
      <w:pPr>
        <w:pStyle w:val="ListParagraph"/>
        <w:numPr>
          <w:ilvl w:val="0"/>
          <w:numId w:val="6"/>
        </w:numPr>
        <w:suppressAutoHyphens/>
        <w:spacing w:before="100" w:after="100" w:line="276" w:lineRule="auto"/>
        <w:rPr>
          <w:rFonts w:cstheme="minorHAnsi"/>
          <w:color w:val="000000" w:themeColor="text1"/>
        </w:rPr>
      </w:pPr>
      <w:r>
        <w:rPr>
          <w:rFonts w:cstheme="minorHAnsi"/>
          <w:color w:val="000000" w:themeColor="text1"/>
        </w:rPr>
        <w:t>During the pre-brief phase, a</w:t>
      </w:r>
      <w:r w:rsidR="00792D70">
        <w:rPr>
          <w:rFonts w:cstheme="minorHAnsi"/>
          <w:color w:val="000000" w:themeColor="text1"/>
        </w:rPr>
        <w:t>l</w:t>
      </w:r>
      <w:r w:rsidR="00E55487" w:rsidRPr="0008030C">
        <w:rPr>
          <w:rFonts w:cstheme="minorHAnsi"/>
          <w:color w:val="000000" w:themeColor="text1"/>
        </w:rPr>
        <w:t xml:space="preserve">l correspondence and file notes of meetings, conversations </w:t>
      </w:r>
      <w:r w:rsidR="00792D70">
        <w:rPr>
          <w:rFonts w:cstheme="minorHAnsi"/>
          <w:color w:val="000000" w:themeColor="text1"/>
        </w:rPr>
        <w:t>and</w:t>
      </w:r>
      <w:r w:rsidR="00E55487" w:rsidRPr="0008030C">
        <w:rPr>
          <w:rFonts w:cstheme="minorHAnsi"/>
          <w:color w:val="000000" w:themeColor="text1"/>
        </w:rPr>
        <w:t xml:space="preserve"> conferences with an investigative agency should be </w:t>
      </w:r>
      <w:r w:rsidR="00792D70">
        <w:rPr>
          <w:rFonts w:cstheme="minorHAnsi"/>
          <w:color w:val="000000" w:themeColor="text1"/>
        </w:rPr>
        <w:t>recorded in the file</w:t>
      </w:r>
      <w:r w:rsidR="00E55487" w:rsidRPr="0008030C">
        <w:rPr>
          <w:rFonts w:cstheme="minorHAnsi"/>
          <w:color w:val="000000" w:themeColor="text1"/>
        </w:rPr>
        <w:t xml:space="preserve">. </w:t>
      </w:r>
    </w:p>
    <w:p w14:paraId="42993771" w14:textId="77777777" w:rsidR="00607DE5" w:rsidRPr="00607DE5" w:rsidRDefault="00607DE5" w:rsidP="0002048D">
      <w:pPr>
        <w:pStyle w:val="ListParagraph"/>
        <w:rPr>
          <w:rFonts w:cstheme="minorHAnsi"/>
          <w:color w:val="000000" w:themeColor="text1"/>
        </w:rPr>
      </w:pPr>
    </w:p>
    <w:p w14:paraId="1FA8E3B7" w14:textId="742B0434" w:rsidR="0002048D" w:rsidRPr="0002048D" w:rsidRDefault="00607DE5" w:rsidP="0002048D">
      <w:pPr>
        <w:pStyle w:val="ListParagraph"/>
        <w:numPr>
          <w:ilvl w:val="0"/>
          <w:numId w:val="6"/>
        </w:numPr>
        <w:suppressAutoHyphens/>
        <w:spacing w:before="100" w:after="100" w:line="276" w:lineRule="auto"/>
        <w:rPr>
          <w:rFonts w:cstheme="minorHAnsi"/>
          <w:color w:val="000000" w:themeColor="text1"/>
        </w:rPr>
      </w:pPr>
      <w:r>
        <w:t xml:space="preserve">There is no set timeframe for providing pre-brief advice however the progress of these matters </w:t>
      </w:r>
      <w:r w:rsidR="008357E1">
        <w:t xml:space="preserve">should be closely </w:t>
      </w:r>
      <w:r>
        <w:t xml:space="preserve">monitored by PTLs and reviewed as part of the fortnightly case review meetings held with case officers.  </w:t>
      </w:r>
    </w:p>
    <w:p w14:paraId="2D34A891" w14:textId="77777777" w:rsidR="0002048D" w:rsidRPr="0002048D" w:rsidRDefault="0002048D" w:rsidP="0002048D">
      <w:pPr>
        <w:pStyle w:val="ListParagraph"/>
        <w:rPr>
          <w:rFonts w:cstheme="minorHAnsi"/>
          <w:color w:val="000000" w:themeColor="text1"/>
        </w:rPr>
      </w:pPr>
    </w:p>
    <w:p w14:paraId="4CDA1E64" w14:textId="5835B68B" w:rsidR="00607DE5" w:rsidRPr="00607DE5" w:rsidRDefault="00607DE5" w:rsidP="0002048D">
      <w:pPr>
        <w:pStyle w:val="ListParagraph"/>
        <w:numPr>
          <w:ilvl w:val="0"/>
          <w:numId w:val="6"/>
        </w:numPr>
        <w:suppressAutoHyphens/>
        <w:spacing w:before="100" w:after="100" w:line="276" w:lineRule="auto"/>
        <w:rPr>
          <w:rFonts w:cstheme="minorHAnsi"/>
          <w:color w:val="000000" w:themeColor="text1"/>
        </w:rPr>
      </w:pPr>
      <w:r w:rsidRPr="00607DE5">
        <w:rPr>
          <w:rFonts w:cstheme="minorHAnsi"/>
          <w:color w:val="000000" w:themeColor="text1"/>
        </w:rPr>
        <w:t>Once the advice is provided to the agency, the file should be closed in a timely manner.</w:t>
      </w:r>
    </w:p>
    <w:p w14:paraId="66CCCBC0" w14:textId="77777777" w:rsidR="00607DE5" w:rsidRDefault="00607DE5" w:rsidP="0002048D">
      <w:pPr>
        <w:pStyle w:val="ListParagraph"/>
      </w:pPr>
    </w:p>
    <w:p w14:paraId="22A72CED" w14:textId="68B9E76E" w:rsidR="00607DE5" w:rsidRDefault="00607DE5" w:rsidP="0002048D">
      <w:pPr>
        <w:pStyle w:val="ListParagraph"/>
        <w:widowControl w:val="0"/>
        <w:numPr>
          <w:ilvl w:val="0"/>
          <w:numId w:val="6"/>
        </w:numPr>
        <w:autoSpaceDE w:val="0"/>
        <w:autoSpaceDN w:val="0"/>
        <w:spacing w:before="101" w:after="0" w:line="276" w:lineRule="auto"/>
        <w:ind w:right="-1"/>
        <w:contextualSpacing w:val="0"/>
      </w:pPr>
      <w:bookmarkStart w:id="10" w:name="_Hlk69381390"/>
      <w:r>
        <w:t>If an agency indicates that an investigation is ongoing and multiple requests for advice are likely,</w:t>
      </w:r>
      <w:r w:rsidR="0002048D">
        <w:t xml:space="preserve"> </w:t>
      </w:r>
      <w:r>
        <w:t>it may be appropriate for the file to remain open until such time as:</w:t>
      </w:r>
    </w:p>
    <w:p w14:paraId="0273426A" w14:textId="77777777" w:rsidR="00607DE5" w:rsidRDefault="00607DE5" w:rsidP="0002048D">
      <w:pPr>
        <w:pStyle w:val="ListParagraph"/>
        <w:widowControl w:val="0"/>
        <w:numPr>
          <w:ilvl w:val="1"/>
          <w:numId w:val="6"/>
        </w:numPr>
        <w:autoSpaceDE w:val="0"/>
        <w:autoSpaceDN w:val="0"/>
        <w:spacing w:before="101" w:after="0" w:line="276" w:lineRule="auto"/>
        <w:ind w:right="-1"/>
        <w:contextualSpacing w:val="0"/>
      </w:pPr>
      <w:r>
        <w:t xml:space="preserve">the agency confirms that the investigation has been </w:t>
      </w:r>
      <w:proofErr w:type="gramStart"/>
      <w:r>
        <w:t>terminated;</w:t>
      </w:r>
      <w:proofErr w:type="gramEnd"/>
      <w:r>
        <w:t xml:space="preserve"> </w:t>
      </w:r>
    </w:p>
    <w:p w14:paraId="1AC794DB" w14:textId="77777777" w:rsidR="00607DE5" w:rsidRDefault="00607DE5" w:rsidP="00985864">
      <w:pPr>
        <w:pStyle w:val="ListParagraph"/>
        <w:widowControl w:val="0"/>
        <w:numPr>
          <w:ilvl w:val="1"/>
          <w:numId w:val="6"/>
        </w:numPr>
        <w:autoSpaceDE w:val="0"/>
        <w:autoSpaceDN w:val="0"/>
        <w:spacing w:after="0" w:line="276" w:lineRule="auto"/>
        <w:ind w:right="-1"/>
        <w:contextualSpacing w:val="0"/>
      </w:pPr>
      <w:r>
        <w:t xml:space="preserve">the agency advises that a brief will not be </w:t>
      </w:r>
      <w:proofErr w:type="gramStart"/>
      <w:r>
        <w:t>referred;</w:t>
      </w:r>
      <w:proofErr w:type="gramEnd"/>
      <w:r>
        <w:t xml:space="preserve"> </w:t>
      </w:r>
    </w:p>
    <w:p w14:paraId="75A65FD0" w14:textId="77777777" w:rsidR="00607DE5" w:rsidRDefault="00607DE5" w:rsidP="00985864">
      <w:pPr>
        <w:pStyle w:val="ListParagraph"/>
        <w:widowControl w:val="0"/>
        <w:numPr>
          <w:ilvl w:val="1"/>
          <w:numId w:val="6"/>
        </w:numPr>
        <w:autoSpaceDE w:val="0"/>
        <w:autoSpaceDN w:val="0"/>
        <w:spacing w:after="0" w:line="276" w:lineRule="auto"/>
        <w:ind w:right="-1"/>
        <w:contextualSpacing w:val="0"/>
      </w:pPr>
      <w:r>
        <w:t>the person being investigated is arrested; or</w:t>
      </w:r>
    </w:p>
    <w:p w14:paraId="0AB69FA2" w14:textId="6899845C" w:rsidR="00607DE5" w:rsidRDefault="00607DE5" w:rsidP="00985864">
      <w:pPr>
        <w:pStyle w:val="ListParagraph"/>
        <w:widowControl w:val="0"/>
        <w:numPr>
          <w:ilvl w:val="1"/>
          <w:numId w:val="6"/>
        </w:numPr>
        <w:autoSpaceDE w:val="0"/>
        <w:autoSpaceDN w:val="0"/>
        <w:spacing w:after="0" w:line="276" w:lineRule="auto"/>
        <w:ind w:right="-1"/>
        <w:contextualSpacing w:val="0"/>
      </w:pPr>
      <w:r>
        <w:t xml:space="preserve">a brief of evidence is received. </w:t>
      </w:r>
    </w:p>
    <w:p w14:paraId="6477ADF6" w14:textId="77777777" w:rsidR="00375AB2" w:rsidRDefault="00375AB2" w:rsidP="00375AB2">
      <w:pPr>
        <w:pStyle w:val="ListParagraph"/>
        <w:widowControl w:val="0"/>
        <w:autoSpaceDE w:val="0"/>
        <w:autoSpaceDN w:val="0"/>
        <w:spacing w:after="0" w:line="276" w:lineRule="auto"/>
        <w:ind w:left="1437" w:right="-1"/>
        <w:contextualSpacing w:val="0"/>
      </w:pPr>
    </w:p>
    <w:p w14:paraId="72E6459D" w14:textId="74ED0573" w:rsidR="00375AB2" w:rsidRPr="00CC15B4" w:rsidRDefault="00607DE5" w:rsidP="00B253EB">
      <w:pPr>
        <w:pStyle w:val="ListParagraph"/>
        <w:widowControl w:val="0"/>
        <w:numPr>
          <w:ilvl w:val="0"/>
          <w:numId w:val="6"/>
        </w:numPr>
        <w:autoSpaceDE w:val="0"/>
        <w:autoSpaceDN w:val="0"/>
        <w:spacing w:before="101" w:after="0" w:line="240" w:lineRule="auto"/>
        <w:ind w:right="-1"/>
        <w:jc w:val="both"/>
      </w:pPr>
      <w:r>
        <w:t xml:space="preserve">If a case officer is of the view that a file should remain open, they will need to obtain approval from their PTL and/or Branch Head. The matter should be reviewed regularly </w:t>
      </w:r>
      <w:r w:rsidR="00375AB2" w:rsidRPr="001F4313">
        <w:t xml:space="preserve">and </w:t>
      </w:r>
      <w:r w:rsidR="00375AB2">
        <w:t xml:space="preserve">follow up should occur with the agency to determine if any of the events above are contemplated, and if so, obtain an estimated timeframe. </w:t>
      </w:r>
      <w:r w:rsidR="00375AB2" w:rsidRPr="00CC15B4">
        <w:t xml:space="preserve"> </w:t>
      </w:r>
    </w:p>
    <w:bookmarkEnd w:id="9"/>
    <w:bookmarkEnd w:id="10"/>
    <w:p w14:paraId="14A71B89" w14:textId="77777777" w:rsidR="00646C21" w:rsidRPr="00AF4142" w:rsidRDefault="00646C21" w:rsidP="00375AB2"/>
    <w:p w14:paraId="4E4707A8" w14:textId="4DB971F6" w:rsidR="00665920" w:rsidRPr="0002048D" w:rsidRDefault="00665920" w:rsidP="00665920">
      <w:pPr>
        <w:pStyle w:val="NLDheading"/>
      </w:pPr>
      <w:bookmarkStart w:id="11" w:name="_Toc70325318"/>
      <w:r w:rsidRPr="0002048D">
        <w:t>Other policies</w:t>
      </w:r>
      <w:bookmarkEnd w:id="11"/>
    </w:p>
    <w:p w14:paraId="5E55B991" w14:textId="5AA517E7" w:rsidR="00665920" w:rsidRDefault="00665920" w:rsidP="00F106D4">
      <w:pPr>
        <w:pStyle w:val="ListParagraph"/>
        <w:numPr>
          <w:ilvl w:val="0"/>
          <w:numId w:val="6"/>
        </w:numPr>
        <w:spacing w:line="276" w:lineRule="auto"/>
      </w:pPr>
      <w:r w:rsidRPr="0002048D">
        <w:t>This</w:t>
      </w:r>
      <w:r>
        <w:t xml:space="preserve"> NLD should be read in conjunction with the following</w:t>
      </w:r>
      <w:r w:rsidR="00F106D4">
        <w:t xml:space="preserve"> </w:t>
      </w:r>
      <w:r w:rsidR="002A36D9">
        <w:t xml:space="preserve">other </w:t>
      </w:r>
      <w:r w:rsidR="00F106D4">
        <w:t>CDPP policies</w:t>
      </w:r>
      <w:r>
        <w:t>:</w:t>
      </w:r>
    </w:p>
    <w:p w14:paraId="7368C14B" w14:textId="77777777" w:rsidR="00F106D4" w:rsidRDefault="00F106D4" w:rsidP="00F106D4">
      <w:pPr>
        <w:pStyle w:val="ListParagraph"/>
        <w:spacing w:line="276" w:lineRule="auto"/>
        <w:ind w:left="3"/>
      </w:pPr>
    </w:p>
    <w:p w14:paraId="29ACE9F4" w14:textId="47941B97" w:rsidR="00665920" w:rsidRDefault="00AC64E7" w:rsidP="00F106D4">
      <w:pPr>
        <w:pStyle w:val="ListParagraph"/>
        <w:numPr>
          <w:ilvl w:val="0"/>
          <w:numId w:val="29"/>
        </w:numPr>
        <w:spacing w:before="240" w:line="276" w:lineRule="auto"/>
      </w:pPr>
      <w:hyperlink r:id="rId10" w:history="1">
        <w:r w:rsidR="00665920" w:rsidRPr="00F106D4">
          <w:rPr>
            <w:rStyle w:val="Hyperlink"/>
          </w:rPr>
          <w:t>Guidelines for dealings between Investigators and the CDPP</w:t>
        </w:r>
      </w:hyperlink>
    </w:p>
    <w:p w14:paraId="405D4A05" w14:textId="711DA8A7" w:rsidR="00665920" w:rsidRDefault="00AC64E7" w:rsidP="00F106D4">
      <w:pPr>
        <w:pStyle w:val="ListParagraph"/>
        <w:numPr>
          <w:ilvl w:val="0"/>
          <w:numId w:val="29"/>
        </w:numPr>
        <w:spacing w:line="276" w:lineRule="auto"/>
      </w:pPr>
      <w:hyperlink r:id="rId11" w:history="1">
        <w:r w:rsidR="00665920" w:rsidRPr="00F106D4">
          <w:rPr>
            <w:rStyle w:val="Hyperlink"/>
          </w:rPr>
          <w:t>National Legal Direction – Prosecution Services for Partner Agencies</w:t>
        </w:r>
      </w:hyperlink>
    </w:p>
    <w:p w14:paraId="60C4ED78" w14:textId="2FBEDA97" w:rsidR="00665920" w:rsidRDefault="00AC64E7" w:rsidP="00F106D4">
      <w:pPr>
        <w:pStyle w:val="ListParagraph"/>
        <w:numPr>
          <w:ilvl w:val="0"/>
          <w:numId w:val="29"/>
        </w:numPr>
        <w:spacing w:line="276" w:lineRule="auto"/>
      </w:pPr>
      <w:hyperlink r:id="rId12" w:history="1">
        <w:r w:rsidR="00665920" w:rsidRPr="00A03B68">
          <w:rPr>
            <w:rStyle w:val="Hyperlink"/>
          </w:rPr>
          <w:t>Prosecution Services for Partner Agencies – A Practical Guide for Prosecutors</w:t>
        </w:r>
      </w:hyperlink>
      <w:r w:rsidR="00665920">
        <w:t xml:space="preserve"> </w:t>
      </w:r>
    </w:p>
    <w:p w14:paraId="716B5ED4" w14:textId="451D4F22" w:rsidR="00665920" w:rsidRDefault="00AC64E7" w:rsidP="00F106D4">
      <w:pPr>
        <w:pStyle w:val="ListParagraph"/>
        <w:numPr>
          <w:ilvl w:val="0"/>
          <w:numId w:val="29"/>
        </w:numPr>
        <w:spacing w:line="276" w:lineRule="auto"/>
      </w:pPr>
      <w:hyperlink r:id="rId13" w:history="1">
        <w:r w:rsidR="00665920" w:rsidRPr="00F106D4">
          <w:rPr>
            <w:rStyle w:val="Hyperlink"/>
          </w:rPr>
          <w:t>Prosecution Policy of the Commonwealth</w:t>
        </w:r>
      </w:hyperlink>
    </w:p>
    <w:p w14:paraId="17C616CF" w14:textId="33BF8BA9" w:rsidR="001D0AF9" w:rsidRDefault="00AC64E7" w:rsidP="00A5752A">
      <w:pPr>
        <w:pStyle w:val="ListParagraph"/>
        <w:numPr>
          <w:ilvl w:val="0"/>
          <w:numId w:val="29"/>
        </w:numPr>
        <w:spacing w:line="276" w:lineRule="auto"/>
      </w:pPr>
      <w:hyperlink r:id="rId14" w:history="1">
        <w:r w:rsidR="00BD4BF0" w:rsidRPr="001F5882">
          <w:rPr>
            <w:rStyle w:val="Hyperlink"/>
          </w:rPr>
          <w:t>National Legal Direction – Timely Prosecutions</w:t>
        </w:r>
      </w:hyperlink>
    </w:p>
    <w:p w14:paraId="3F4CC42A" w14:textId="5BB2E3D7" w:rsidR="001D0AF9" w:rsidRPr="0078022A" w:rsidRDefault="001D0AF9" w:rsidP="00F106D4">
      <w:pPr>
        <w:pStyle w:val="ListParagraph"/>
        <w:numPr>
          <w:ilvl w:val="0"/>
          <w:numId w:val="29"/>
        </w:numPr>
        <w:spacing w:line="276" w:lineRule="auto"/>
      </w:pPr>
      <w:r>
        <w:t xml:space="preserve">Guidelines for Investigative Agencies </w:t>
      </w:r>
      <w:r w:rsidR="002F0EC1">
        <w:t>on Offers of Assistance to Authorities</w:t>
      </w:r>
    </w:p>
    <w:p w14:paraId="28B45B5B" w14:textId="3E0B0FBA" w:rsidR="00665920" w:rsidRPr="0078022A" w:rsidRDefault="00AC64E7" w:rsidP="00335657">
      <w:pPr>
        <w:pStyle w:val="ListParagraph"/>
        <w:numPr>
          <w:ilvl w:val="0"/>
          <w:numId w:val="29"/>
        </w:numPr>
        <w:spacing w:line="276" w:lineRule="auto"/>
      </w:pPr>
      <w:hyperlink r:id="rId15" w:history="1">
        <w:r w:rsidR="0078022A" w:rsidRPr="001D0AF9">
          <w:rPr>
            <w:rStyle w:val="Hyperlink"/>
          </w:rPr>
          <w:t>Practice Group Instructions – Organised Crime and Counter-Terrorism ‘Providing Qualified Pre-Brief Legal Advice in Counter Terrorism Matters’</w:t>
        </w:r>
      </w:hyperlink>
      <w:r w:rsidR="0078022A" w:rsidRPr="0078022A">
        <w:t xml:space="preserve"> </w:t>
      </w:r>
    </w:p>
    <w:p w14:paraId="57800165" w14:textId="77777777" w:rsidR="00650B31" w:rsidRDefault="00650B31" w:rsidP="00F106D4">
      <w:pPr>
        <w:spacing w:line="276" w:lineRule="auto"/>
      </w:pPr>
    </w:p>
    <w:sectPr w:rsidR="00650B31" w:rsidSect="00940E6B">
      <w:footerReference w:type="default" r:id="rId16"/>
      <w:headerReference w:type="first" r:id="rId17"/>
      <w:pgSz w:w="11906" w:h="16838"/>
      <w:pgMar w:top="851"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C36A2" w14:textId="77777777" w:rsidR="00AC64E7" w:rsidRDefault="00AC64E7" w:rsidP="007B19E0">
      <w:pPr>
        <w:spacing w:after="0" w:line="240" w:lineRule="auto"/>
      </w:pPr>
      <w:r>
        <w:separator/>
      </w:r>
    </w:p>
  </w:endnote>
  <w:endnote w:type="continuationSeparator" w:id="0">
    <w:p w14:paraId="1F2874AE" w14:textId="77777777" w:rsidR="00AC64E7" w:rsidRDefault="00AC64E7" w:rsidP="007B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979131"/>
      <w:docPartObj>
        <w:docPartGallery w:val="Page Numbers (Bottom of Page)"/>
        <w:docPartUnique/>
      </w:docPartObj>
    </w:sdtPr>
    <w:sdtEndPr>
      <w:rPr>
        <w:noProof/>
      </w:rPr>
    </w:sdtEndPr>
    <w:sdtContent>
      <w:p w14:paraId="6A38A51F" w14:textId="12E2AB80" w:rsidR="00042677" w:rsidRDefault="00042677">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33AA0D3" w14:textId="77777777" w:rsidR="00042677" w:rsidRDefault="00042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7901" w14:textId="77777777" w:rsidR="00AC64E7" w:rsidRDefault="00AC64E7" w:rsidP="007B19E0">
      <w:pPr>
        <w:spacing w:after="0" w:line="240" w:lineRule="auto"/>
      </w:pPr>
      <w:r>
        <w:separator/>
      </w:r>
    </w:p>
  </w:footnote>
  <w:footnote w:type="continuationSeparator" w:id="0">
    <w:p w14:paraId="0D59FCEB" w14:textId="77777777" w:rsidR="00AC64E7" w:rsidRDefault="00AC64E7" w:rsidP="007B19E0">
      <w:pPr>
        <w:spacing w:after="0" w:line="240" w:lineRule="auto"/>
      </w:pPr>
      <w:r>
        <w:continuationSeparator/>
      </w:r>
    </w:p>
  </w:footnote>
  <w:footnote w:id="1">
    <w:p w14:paraId="5125E86F" w14:textId="77777777" w:rsidR="00C01030" w:rsidRDefault="00C01030" w:rsidP="00C01030">
      <w:pPr>
        <w:pStyle w:val="FootnoteText"/>
        <w:rPr>
          <w:sz w:val="18"/>
          <w:szCs w:val="18"/>
        </w:rPr>
      </w:pPr>
      <w:r>
        <w:rPr>
          <w:rStyle w:val="FootnoteReference"/>
        </w:rPr>
        <w:footnoteRef/>
      </w:r>
      <w:r>
        <w:t xml:space="preserve"> </w:t>
      </w:r>
      <w:r>
        <w:rPr>
          <w:sz w:val="18"/>
          <w:szCs w:val="18"/>
        </w:rPr>
        <w:t>See DMM 1.1</w:t>
      </w:r>
    </w:p>
  </w:footnote>
  <w:footnote w:id="2">
    <w:p w14:paraId="3B15CA99" w14:textId="77777777" w:rsidR="00C01030" w:rsidRDefault="00C01030" w:rsidP="00C01030">
      <w:pPr>
        <w:pStyle w:val="FootnoteText"/>
        <w:rPr>
          <w:sz w:val="18"/>
          <w:szCs w:val="18"/>
        </w:rPr>
      </w:pPr>
      <w:r>
        <w:rPr>
          <w:rStyle w:val="FootnoteReference"/>
        </w:rPr>
        <w:footnoteRef/>
      </w:r>
      <w:r>
        <w:t xml:space="preserve"> </w:t>
      </w:r>
      <w:r>
        <w:rPr>
          <w:sz w:val="18"/>
          <w:szCs w:val="18"/>
        </w:rPr>
        <w:t>See DMM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EEA3" w14:textId="391285C0" w:rsidR="00042677" w:rsidRDefault="00042677">
    <w:pPr>
      <w:pStyle w:val="Header"/>
    </w:pPr>
    <w:r>
      <w:rPr>
        <w:noProof/>
        <w:lang w:eastAsia="en-AU"/>
      </w:rPr>
      <w:drawing>
        <wp:anchor distT="0" distB="0" distL="114300" distR="114300" simplePos="0" relativeHeight="251658240" behindDoc="1" locked="0" layoutInCell="1" allowOverlap="1" wp14:anchorId="614CBADF" wp14:editId="54B4D9C0">
          <wp:simplePos x="0" y="0"/>
          <wp:positionH relativeFrom="page">
            <wp:posOffset>201930</wp:posOffset>
          </wp:positionH>
          <wp:positionV relativeFrom="page">
            <wp:posOffset>182880</wp:posOffset>
          </wp:positionV>
          <wp:extent cx="7200265" cy="1057910"/>
          <wp:effectExtent l="0" t="0" r="635" b="8890"/>
          <wp:wrapNone/>
          <wp:docPr id="4" name="Picture 4" descr="HR_L_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L_Hea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397"/>
    <w:multiLevelType w:val="hybridMultilevel"/>
    <w:tmpl w:val="F75E94FE"/>
    <w:lvl w:ilvl="0" w:tplc="0C09000F">
      <w:start w:val="1"/>
      <w:numFmt w:val="decimal"/>
      <w:lvlText w:val="%1."/>
      <w:lvlJc w:val="left"/>
      <w:pPr>
        <w:ind w:left="429" w:hanging="360"/>
      </w:pPr>
    </w:lvl>
    <w:lvl w:ilvl="1" w:tplc="0C090019">
      <w:start w:val="1"/>
      <w:numFmt w:val="lowerLetter"/>
      <w:lvlText w:val="%2."/>
      <w:lvlJc w:val="left"/>
      <w:pPr>
        <w:ind w:left="1149" w:hanging="360"/>
      </w:pPr>
    </w:lvl>
    <w:lvl w:ilvl="2" w:tplc="0C09001B">
      <w:start w:val="1"/>
      <w:numFmt w:val="lowerRoman"/>
      <w:lvlText w:val="%3."/>
      <w:lvlJc w:val="right"/>
      <w:pPr>
        <w:ind w:left="1869" w:hanging="180"/>
      </w:pPr>
    </w:lvl>
    <w:lvl w:ilvl="3" w:tplc="0C09000F">
      <w:start w:val="1"/>
      <w:numFmt w:val="decimal"/>
      <w:lvlText w:val="%4."/>
      <w:lvlJc w:val="left"/>
      <w:pPr>
        <w:ind w:left="2589" w:hanging="360"/>
      </w:pPr>
    </w:lvl>
    <w:lvl w:ilvl="4" w:tplc="0C090019">
      <w:start w:val="1"/>
      <w:numFmt w:val="lowerLetter"/>
      <w:lvlText w:val="%5."/>
      <w:lvlJc w:val="left"/>
      <w:pPr>
        <w:ind w:left="3309" w:hanging="360"/>
      </w:pPr>
    </w:lvl>
    <w:lvl w:ilvl="5" w:tplc="0C09001B">
      <w:start w:val="1"/>
      <w:numFmt w:val="lowerRoman"/>
      <w:lvlText w:val="%6."/>
      <w:lvlJc w:val="right"/>
      <w:pPr>
        <w:ind w:left="4029" w:hanging="180"/>
      </w:pPr>
    </w:lvl>
    <w:lvl w:ilvl="6" w:tplc="0C09000F">
      <w:start w:val="1"/>
      <w:numFmt w:val="decimal"/>
      <w:lvlText w:val="%7."/>
      <w:lvlJc w:val="left"/>
      <w:pPr>
        <w:ind w:left="4749" w:hanging="360"/>
      </w:pPr>
    </w:lvl>
    <w:lvl w:ilvl="7" w:tplc="0C090019">
      <w:start w:val="1"/>
      <w:numFmt w:val="lowerLetter"/>
      <w:lvlText w:val="%8."/>
      <w:lvlJc w:val="left"/>
      <w:pPr>
        <w:ind w:left="5469" w:hanging="360"/>
      </w:pPr>
    </w:lvl>
    <w:lvl w:ilvl="8" w:tplc="0C09001B">
      <w:start w:val="1"/>
      <w:numFmt w:val="lowerRoman"/>
      <w:lvlText w:val="%9."/>
      <w:lvlJc w:val="right"/>
      <w:pPr>
        <w:ind w:left="6189" w:hanging="180"/>
      </w:pPr>
    </w:lvl>
  </w:abstractNum>
  <w:abstractNum w:abstractNumId="1" w15:restartNumberingAfterBreak="0">
    <w:nsid w:val="021468E4"/>
    <w:multiLevelType w:val="singleLevel"/>
    <w:tmpl w:val="7EB2E164"/>
    <w:lvl w:ilvl="0">
      <w:start w:val="1"/>
      <w:numFmt w:val="decimal"/>
      <w:pStyle w:val="NLDTEXT"/>
      <w:lvlText w:val="%1."/>
      <w:lvlJc w:val="left"/>
      <w:pPr>
        <w:ind w:left="360" w:hanging="360"/>
      </w:pPr>
      <w:rPr>
        <w:rFonts w:hint="default"/>
        <w:b w:val="0"/>
      </w:rPr>
    </w:lvl>
  </w:abstractNum>
  <w:abstractNum w:abstractNumId="2" w15:restartNumberingAfterBreak="0">
    <w:nsid w:val="09F816D6"/>
    <w:multiLevelType w:val="hybridMultilevel"/>
    <w:tmpl w:val="73EC9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3F2DF1"/>
    <w:multiLevelType w:val="hybridMultilevel"/>
    <w:tmpl w:val="831A19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85408E"/>
    <w:multiLevelType w:val="hybridMultilevel"/>
    <w:tmpl w:val="A712CB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1185548D"/>
    <w:multiLevelType w:val="hybridMultilevel"/>
    <w:tmpl w:val="63648F14"/>
    <w:lvl w:ilvl="0" w:tplc="0C09000F">
      <w:start w:val="17"/>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5C85AEC"/>
    <w:multiLevelType w:val="hybridMultilevel"/>
    <w:tmpl w:val="A8764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E16145"/>
    <w:multiLevelType w:val="hybridMultilevel"/>
    <w:tmpl w:val="5CF817FA"/>
    <w:lvl w:ilvl="0" w:tplc="0A281D7A">
      <w:start w:val="1"/>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79A25DF"/>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3F2EAC"/>
    <w:multiLevelType w:val="hybridMultilevel"/>
    <w:tmpl w:val="5D9A65C6"/>
    <w:lvl w:ilvl="0" w:tplc="232219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8A5308"/>
    <w:multiLevelType w:val="hybridMultilevel"/>
    <w:tmpl w:val="22AE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56E5D"/>
    <w:multiLevelType w:val="hybridMultilevel"/>
    <w:tmpl w:val="6D527C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AE1930"/>
    <w:multiLevelType w:val="hybridMultilevel"/>
    <w:tmpl w:val="13B8D130"/>
    <w:lvl w:ilvl="0" w:tplc="9EA6C9BA">
      <w:start w:val="1"/>
      <w:numFmt w:val="decimal"/>
      <w:lvlText w:val="%1."/>
      <w:lvlJc w:val="left"/>
      <w:pPr>
        <w:ind w:left="717" w:hanging="360"/>
      </w:pPr>
      <w:rPr>
        <w:rFonts w:hint="default"/>
        <w:b w:val="0"/>
        <w:bCs w:val="0"/>
        <w:color w:val="000000"/>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311B164F"/>
    <w:multiLevelType w:val="hybridMultilevel"/>
    <w:tmpl w:val="F82686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977847"/>
    <w:multiLevelType w:val="hybridMultilevel"/>
    <w:tmpl w:val="12DAB3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ABC0961"/>
    <w:multiLevelType w:val="hybridMultilevel"/>
    <w:tmpl w:val="F9084A2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6" w15:restartNumberingAfterBreak="0">
    <w:nsid w:val="414C3746"/>
    <w:multiLevelType w:val="hybridMultilevel"/>
    <w:tmpl w:val="537C1C5E"/>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7" w15:restartNumberingAfterBreak="0">
    <w:nsid w:val="462C419E"/>
    <w:multiLevelType w:val="hybridMultilevel"/>
    <w:tmpl w:val="CF4C10D2"/>
    <w:lvl w:ilvl="0" w:tplc="479A7370">
      <w:start w:val="1"/>
      <w:numFmt w:val="decimal"/>
      <w:lvlText w:val="%1."/>
      <w:lvlJc w:val="left"/>
      <w:pPr>
        <w:ind w:left="1276" w:hanging="284"/>
      </w:pPr>
      <w:rPr>
        <w:rFonts w:ascii="Calibri" w:eastAsia="Calibri" w:hAnsi="Calibri" w:cs="Calibri" w:hint="default"/>
        <w:b/>
        <w:bCs/>
        <w:color w:val="404040"/>
        <w:w w:val="100"/>
        <w:sz w:val="22"/>
        <w:szCs w:val="22"/>
      </w:rPr>
    </w:lvl>
    <w:lvl w:ilvl="1" w:tplc="498018A8">
      <w:start w:val="1"/>
      <w:numFmt w:val="lowerLetter"/>
      <w:lvlText w:val="%2."/>
      <w:lvlJc w:val="left"/>
      <w:pPr>
        <w:ind w:left="1785" w:hanging="286"/>
      </w:pPr>
      <w:rPr>
        <w:color w:val="auto"/>
        <w:w w:val="100"/>
        <w:sz w:val="22"/>
        <w:szCs w:val="22"/>
      </w:rPr>
    </w:lvl>
    <w:lvl w:ilvl="2" w:tplc="604A876A">
      <w:numFmt w:val="bullet"/>
      <w:lvlText w:val="•"/>
      <w:lvlJc w:val="left"/>
      <w:pPr>
        <w:ind w:left="2867" w:hanging="286"/>
      </w:pPr>
    </w:lvl>
    <w:lvl w:ilvl="3" w:tplc="5D8E965A">
      <w:numFmt w:val="bullet"/>
      <w:lvlText w:val="•"/>
      <w:lvlJc w:val="left"/>
      <w:pPr>
        <w:ind w:left="3954" w:hanging="286"/>
      </w:pPr>
    </w:lvl>
    <w:lvl w:ilvl="4" w:tplc="99642078">
      <w:numFmt w:val="bullet"/>
      <w:lvlText w:val="•"/>
      <w:lvlJc w:val="left"/>
      <w:pPr>
        <w:ind w:left="5042" w:hanging="286"/>
      </w:pPr>
    </w:lvl>
    <w:lvl w:ilvl="5" w:tplc="1D3A8C90">
      <w:numFmt w:val="bullet"/>
      <w:lvlText w:val="•"/>
      <w:lvlJc w:val="left"/>
      <w:pPr>
        <w:ind w:left="6129" w:hanging="286"/>
      </w:pPr>
    </w:lvl>
    <w:lvl w:ilvl="6" w:tplc="E3E43E90">
      <w:numFmt w:val="bullet"/>
      <w:lvlText w:val="•"/>
      <w:lvlJc w:val="left"/>
      <w:pPr>
        <w:ind w:left="7216" w:hanging="286"/>
      </w:pPr>
    </w:lvl>
    <w:lvl w:ilvl="7" w:tplc="990E1A2E">
      <w:numFmt w:val="bullet"/>
      <w:lvlText w:val="•"/>
      <w:lvlJc w:val="left"/>
      <w:pPr>
        <w:ind w:left="8304" w:hanging="286"/>
      </w:pPr>
    </w:lvl>
    <w:lvl w:ilvl="8" w:tplc="E0B87566">
      <w:numFmt w:val="bullet"/>
      <w:lvlText w:val="•"/>
      <w:lvlJc w:val="left"/>
      <w:pPr>
        <w:ind w:left="9391" w:hanging="286"/>
      </w:pPr>
    </w:lvl>
  </w:abstractNum>
  <w:abstractNum w:abstractNumId="18" w15:restartNumberingAfterBreak="0">
    <w:nsid w:val="4E597843"/>
    <w:multiLevelType w:val="hybridMultilevel"/>
    <w:tmpl w:val="D920358E"/>
    <w:lvl w:ilvl="0" w:tplc="0C090001">
      <w:start w:val="1"/>
      <w:numFmt w:val="bullet"/>
      <w:lvlText w:val=""/>
      <w:lvlJc w:val="left"/>
      <w:pPr>
        <w:ind w:left="1600" w:hanging="360"/>
      </w:pPr>
      <w:rPr>
        <w:rFonts w:ascii="Symbol" w:hAnsi="Symbol" w:hint="default"/>
      </w:rPr>
    </w:lvl>
    <w:lvl w:ilvl="1" w:tplc="0C090019" w:tentative="1">
      <w:start w:val="1"/>
      <w:numFmt w:val="lowerLetter"/>
      <w:lvlText w:val="%2."/>
      <w:lvlJc w:val="left"/>
      <w:pPr>
        <w:ind w:left="2320" w:hanging="360"/>
      </w:pPr>
    </w:lvl>
    <w:lvl w:ilvl="2" w:tplc="0C09001B" w:tentative="1">
      <w:start w:val="1"/>
      <w:numFmt w:val="lowerRoman"/>
      <w:lvlText w:val="%3."/>
      <w:lvlJc w:val="right"/>
      <w:pPr>
        <w:ind w:left="3040" w:hanging="180"/>
      </w:pPr>
    </w:lvl>
    <w:lvl w:ilvl="3" w:tplc="0C09000F" w:tentative="1">
      <w:start w:val="1"/>
      <w:numFmt w:val="decimal"/>
      <w:lvlText w:val="%4."/>
      <w:lvlJc w:val="left"/>
      <w:pPr>
        <w:ind w:left="3760" w:hanging="360"/>
      </w:pPr>
    </w:lvl>
    <w:lvl w:ilvl="4" w:tplc="0C090019" w:tentative="1">
      <w:start w:val="1"/>
      <w:numFmt w:val="lowerLetter"/>
      <w:lvlText w:val="%5."/>
      <w:lvlJc w:val="left"/>
      <w:pPr>
        <w:ind w:left="4480" w:hanging="360"/>
      </w:pPr>
    </w:lvl>
    <w:lvl w:ilvl="5" w:tplc="0C09001B" w:tentative="1">
      <w:start w:val="1"/>
      <w:numFmt w:val="lowerRoman"/>
      <w:lvlText w:val="%6."/>
      <w:lvlJc w:val="right"/>
      <w:pPr>
        <w:ind w:left="5200" w:hanging="180"/>
      </w:pPr>
    </w:lvl>
    <w:lvl w:ilvl="6" w:tplc="0C09000F" w:tentative="1">
      <w:start w:val="1"/>
      <w:numFmt w:val="decimal"/>
      <w:lvlText w:val="%7."/>
      <w:lvlJc w:val="left"/>
      <w:pPr>
        <w:ind w:left="5920" w:hanging="360"/>
      </w:pPr>
    </w:lvl>
    <w:lvl w:ilvl="7" w:tplc="0C090019" w:tentative="1">
      <w:start w:val="1"/>
      <w:numFmt w:val="lowerLetter"/>
      <w:lvlText w:val="%8."/>
      <w:lvlJc w:val="left"/>
      <w:pPr>
        <w:ind w:left="6640" w:hanging="360"/>
      </w:pPr>
    </w:lvl>
    <w:lvl w:ilvl="8" w:tplc="0C09001B" w:tentative="1">
      <w:start w:val="1"/>
      <w:numFmt w:val="lowerRoman"/>
      <w:lvlText w:val="%9."/>
      <w:lvlJc w:val="right"/>
      <w:pPr>
        <w:ind w:left="7360" w:hanging="180"/>
      </w:pPr>
    </w:lvl>
  </w:abstractNum>
  <w:abstractNum w:abstractNumId="19" w15:restartNumberingAfterBreak="0">
    <w:nsid w:val="4EBE0379"/>
    <w:multiLevelType w:val="hybridMultilevel"/>
    <w:tmpl w:val="BA5E2E46"/>
    <w:lvl w:ilvl="0" w:tplc="BE6849C8">
      <w:start w:val="1"/>
      <w:numFmt w:val="decimal"/>
      <w:pStyle w:val="Style1"/>
      <w:lvlText w:val="%1."/>
      <w:lvlJc w:val="left"/>
      <w:pPr>
        <w:ind w:left="785" w:hanging="360"/>
      </w:pPr>
    </w:lvl>
    <w:lvl w:ilvl="1" w:tplc="0C090003" w:tentative="1">
      <w:start w:val="1"/>
      <w:numFmt w:val="lowerLetter"/>
      <w:lvlText w:val="%2."/>
      <w:lvlJc w:val="left"/>
      <w:pPr>
        <w:ind w:left="1505" w:hanging="360"/>
      </w:pPr>
    </w:lvl>
    <w:lvl w:ilvl="2" w:tplc="0C090005" w:tentative="1">
      <w:start w:val="1"/>
      <w:numFmt w:val="lowerRoman"/>
      <w:lvlText w:val="%3."/>
      <w:lvlJc w:val="right"/>
      <w:pPr>
        <w:ind w:left="2225" w:hanging="180"/>
      </w:pPr>
    </w:lvl>
    <w:lvl w:ilvl="3" w:tplc="0C090001" w:tentative="1">
      <w:start w:val="1"/>
      <w:numFmt w:val="decimal"/>
      <w:lvlText w:val="%4."/>
      <w:lvlJc w:val="left"/>
      <w:pPr>
        <w:ind w:left="2945" w:hanging="360"/>
      </w:pPr>
    </w:lvl>
    <w:lvl w:ilvl="4" w:tplc="0C090003" w:tentative="1">
      <w:start w:val="1"/>
      <w:numFmt w:val="lowerLetter"/>
      <w:lvlText w:val="%5."/>
      <w:lvlJc w:val="left"/>
      <w:pPr>
        <w:ind w:left="3665" w:hanging="360"/>
      </w:pPr>
    </w:lvl>
    <w:lvl w:ilvl="5" w:tplc="0C090005" w:tentative="1">
      <w:start w:val="1"/>
      <w:numFmt w:val="lowerRoman"/>
      <w:lvlText w:val="%6."/>
      <w:lvlJc w:val="right"/>
      <w:pPr>
        <w:ind w:left="4385" w:hanging="180"/>
      </w:pPr>
    </w:lvl>
    <w:lvl w:ilvl="6" w:tplc="0C090001" w:tentative="1">
      <w:start w:val="1"/>
      <w:numFmt w:val="decimal"/>
      <w:lvlText w:val="%7."/>
      <w:lvlJc w:val="left"/>
      <w:pPr>
        <w:ind w:left="5105" w:hanging="360"/>
      </w:pPr>
    </w:lvl>
    <w:lvl w:ilvl="7" w:tplc="0C090003" w:tentative="1">
      <w:start w:val="1"/>
      <w:numFmt w:val="lowerLetter"/>
      <w:lvlText w:val="%8."/>
      <w:lvlJc w:val="left"/>
      <w:pPr>
        <w:ind w:left="5825" w:hanging="360"/>
      </w:pPr>
    </w:lvl>
    <w:lvl w:ilvl="8" w:tplc="0C090005" w:tentative="1">
      <w:start w:val="1"/>
      <w:numFmt w:val="lowerRoman"/>
      <w:lvlText w:val="%9."/>
      <w:lvlJc w:val="right"/>
      <w:pPr>
        <w:ind w:left="6545" w:hanging="180"/>
      </w:pPr>
    </w:lvl>
  </w:abstractNum>
  <w:abstractNum w:abstractNumId="20" w15:restartNumberingAfterBreak="0">
    <w:nsid w:val="580E5A84"/>
    <w:multiLevelType w:val="hybridMultilevel"/>
    <w:tmpl w:val="9EE8A2C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1" w15:restartNumberingAfterBreak="0">
    <w:nsid w:val="5CCC5257"/>
    <w:multiLevelType w:val="hybridMultilevel"/>
    <w:tmpl w:val="A76C6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ED2DBB"/>
    <w:multiLevelType w:val="hybridMultilevel"/>
    <w:tmpl w:val="8DCE9B1C"/>
    <w:lvl w:ilvl="0" w:tplc="D86E8CBC">
      <w:start w:val="1"/>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15:restartNumberingAfterBreak="0">
    <w:nsid w:val="63092135"/>
    <w:multiLevelType w:val="hybridMultilevel"/>
    <w:tmpl w:val="39802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4293A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AE77E2"/>
    <w:multiLevelType w:val="hybridMultilevel"/>
    <w:tmpl w:val="BF3CFC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77461390"/>
    <w:multiLevelType w:val="hybridMultilevel"/>
    <w:tmpl w:val="9F201FE2"/>
    <w:lvl w:ilvl="0" w:tplc="0C09000F">
      <w:start w:val="1"/>
      <w:numFmt w:val="decimal"/>
      <w:lvlText w:val="%1."/>
      <w:lvlJc w:val="left"/>
      <w:pPr>
        <w:ind w:left="1070" w:hanging="360"/>
      </w:pPr>
    </w:lvl>
    <w:lvl w:ilvl="1" w:tplc="9E442AD8">
      <w:start w:val="1"/>
      <w:numFmt w:val="bullet"/>
      <w:pStyle w:val="Dotpoin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CA93F94"/>
    <w:multiLevelType w:val="hybridMultilevel"/>
    <w:tmpl w:val="C19E3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F5530"/>
    <w:multiLevelType w:val="hybridMultilevel"/>
    <w:tmpl w:val="B1C208AA"/>
    <w:lvl w:ilvl="0" w:tplc="88941BBE">
      <w:start w:val="1"/>
      <w:numFmt w:val="decimal"/>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29" w15:restartNumberingAfterBreak="0">
    <w:nsid w:val="7FEF38CA"/>
    <w:multiLevelType w:val="hybridMultilevel"/>
    <w:tmpl w:val="CB9EECD2"/>
    <w:lvl w:ilvl="0" w:tplc="9EA6C9BA">
      <w:start w:val="1"/>
      <w:numFmt w:val="decimal"/>
      <w:lvlText w:val="%1."/>
      <w:lvlJc w:val="left"/>
      <w:pPr>
        <w:ind w:left="3" w:hanging="360"/>
      </w:pPr>
      <w:rPr>
        <w:rFonts w:hint="default"/>
        <w:b w:val="0"/>
        <w:bCs w:val="0"/>
        <w:color w:val="000000"/>
      </w:rPr>
    </w:lvl>
    <w:lvl w:ilvl="1" w:tplc="0C090019" w:tentative="1">
      <w:start w:val="1"/>
      <w:numFmt w:val="lowerLetter"/>
      <w:lvlText w:val="%2."/>
      <w:lvlJc w:val="left"/>
      <w:pPr>
        <w:ind w:left="723" w:hanging="360"/>
      </w:pPr>
    </w:lvl>
    <w:lvl w:ilvl="2" w:tplc="0C09001B" w:tentative="1">
      <w:start w:val="1"/>
      <w:numFmt w:val="lowerRoman"/>
      <w:lvlText w:val="%3."/>
      <w:lvlJc w:val="right"/>
      <w:pPr>
        <w:ind w:left="1443" w:hanging="180"/>
      </w:pPr>
    </w:lvl>
    <w:lvl w:ilvl="3" w:tplc="0C09000F" w:tentative="1">
      <w:start w:val="1"/>
      <w:numFmt w:val="decimal"/>
      <w:lvlText w:val="%4."/>
      <w:lvlJc w:val="left"/>
      <w:pPr>
        <w:ind w:left="2163" w:hanging="360"/>
      </w:pPr>
    </w:lvl>
    <w:lvl w:ilvl="4" w:tplc="0C090019" w:tentative="1">
      <w:start w:val="1"/>
      <w:numFmt w:val="lowerLetter"/>
      <w:lvlText w:val="%5."/>
      <w:lvlJc w:val="left"/>
      <w:pPr>
        <w:ind w:left="2883" w:hanging="360"/>
      </w:pPr>
    </w:lvl>
    <w:lvl w:ilvl="5" w:tplc="0C09001B" w:tentative="1">
      <w:start w:val="1"/>
      <w:numFmt w:val="lowerRoman"/>
      <w:lvlText w:val="%6."/>
      <w:lvlJc w:val="right"/>
      <w:pPr>
        <w:ind w:left="3603" w:hanging="180"/>
      </w:pPr>
    </w:lvl>
    <w:lvl w:ilvl="6" w:tplc="0C09000F" w:tentative="1">
      <w:start w:val="1"/>
      <w:numFmt w:val="decimal"/>
      <w:lvlText w:val="%7."/>
      <w:lvlJc w:val="left"/>
      <w:pPr>
        <w:ind w:left="4323" w:hanging="360"/>
      </w:pPr>
    </w:lvl>
    <w:lvl w:ilvl="7" w:tplc="0C090019" w:tentative="1">
      <w:start w:val="1"/>
      <w:numFmt w:val="lowerLetter"/>
      <w:lvlText w:val="%8."/>
      <w:lvlJc w:val="left"/>
      <w:pPr>
        <w:ind w:left="5043" w:hanging="360"/>
      </w:pPr>
    </w:lvl>
    <w:lvl w:ilvl="8" w:tplc="0C09001B" w:tentative="1">
      <w:start w:val="1"/>
      <w:numFmt w:val="lowerRoman"/>
      <w:lvlText w:val="%9."/>
      <w:lvlJc w:val="right"/>
      <w:pPr>
        <w:ind w:left="5763" w:hanging="180"/>
      </w:pPr>
    </w:lvl>
  </w:abstractNum>
  <w:num w:numId="1">
    <w:abstractNumId w:val="19"/>
  </w:num>
  <w:num w:numId="2">
    <w:abstractNumId w:val="8"/>
  </w:num>
  <w:num w:numId="3">
    <w:abstractNumId w:val="1"/>
  </w:num>
  <w:num w:numId="4">
    <w:abstractNumId w:val="27"/>
  </w:num>
  <w:num w:numId="5">
    <w:abstractNumId w:val="25"/>
  </w:num>
  <w:num w:numId="6">
    <w:abstractNumId w:val="12"/>
  </w:num>
  <w:num w:numId="7">
    <w:abstractNumId w:val="21"/>
  </w:num>
  <w:num w:numId="8">
    <w:abstractNumId w:val="16"/>
  </w:num>
  <w:num w:numId="9">
    <w:abstractNumId w:val="24"/>
  </w:num>
  <w:num w:numId="10">
    <w:abstractNumId w:val="4"/>
  </w:num>
  <w:num w:numId="11">
    <w:abstractNumId w:val="10"/>
  </w:num>
  <w:num w:numId="12">
    <w:abstractNumId w:val="13"/>
  </w:num>
  <w:num w:numId="13">
    <w:abstractNumId w:val="14"/>
  </w:num>
  <w:num w:numId="14">
    <w:abstractNumId w:val="2"/>
  </w:num>
  <w:num w:numId="15">
    <w:abstractNumId w:val="18"/>
  </w:num>
  <w:num w:numId="16">
    <w:abstractNumId w:val="6"/>
  </w:num>
  <w:num w:numId="17">
    <w:abstractNumId w:val="11"/>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 w:numId="26">
    <w:abstractNumId w:val="29"/>
  </w:num>
  <w:num w:numId="27">
    <w:abstractNumId w:val="7"/>
  </w:num>
  <w:num w:numId="28">
    <w:abstractNumId w:val="9"/>
  </w:num>
  <w:num w:numId="29">
    <w:abstractNumId w:val="22"/>
  </w:num>
  <w:num w:numId="3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7"/>
  </w:num>
  <w:num w:numId="3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E8"/>
    <w:rsid w:val="000003FD"/>
    <w:rsid w:val="00000BCF"/>
    <w:rsid w:val="000047D8"/>
    <w:rsid w:val="00011A11"/>
    <w:rsid w:val="0001380E"/>
    <w:rsid w:val="0002048D"/>
    <w:rsid w:val="000307DE"/>
    <w:rsid w:val="00040274"/>
    <w:rsid w:val="00042677"/>
    <w:rsid w:val="00050D08"/>
    <w:rsid w:val="0005297A"/>
    <w:rsid w:val="00054823"/>
    <w:rsid w:val="00062A61"/>
    <w:rsid w:val="00066E95"/>
    <w:rsid w:val="00070110"/>
    <w:rsid w:val="000705BE"/>
    <w:rsid w:val="00072E52"/>
    <w:rsid w:val="00077B30"/>
    <w:rsid w:val="0008030C"/>
    <w:rsid w:val="00081CCD"/>
    <w:rsid w:val="00092191"/>
    <w:rsid w:val="000957C6"/>
    <w:rsid w:val="000A1544"/>
    <w:rsid w:val="000B2AEE"/>
    <w:rsid w:val="000B4081"/>
    <w:rsid w:val="000C0433"/>
    <w:rsid w:val="000C388F"/>
    <w:rsid w:val="000C398A"/>
    <w:rsid w:val="000D77B0"/>
    <w:rsid w:val="000E69A7"/>
    <w:rsid w:val="000F1912"/>
    <w:rsid w:val="000F392E"/>
    <w:rsid w:val="000F6E76"/>
    <w:rsid w:val="000F7E7A"/>
    <w:rsid w:val="0010005F"/>
    <w:rsid w:val="001025C0"/>
    <w:rsid w:val="00102893"/>
    <w:rsid w:val="00102971"/>
    <w:rsid w:val="001054CB"/>
    <w:rsid w:val="001063C2"/>
    <w:rsid w:val="00111070"/>
    <w:rsid w:val="0011352C"/>
    <w:rsid w:val="00116C65"/>
    <w:rsid w:val="00131278"/>
    <w:rsid w:val="00132EDC"/>
    <w:rsid w:val="00133AAE"/>
    <w:rsid w:val="001427F4"/>
    <w:rsid w:val="00146B5C"/>
    <w:rsid w:val="00146FEA"/>
    <w:rsid w:val="00150051"/>
    <w:rsid w:val="00156470"/>
    <w:rsid w:val="0015768F"/>
    <w:rsid w:val="001578CA"/>
    <w:rsid w:val="0016390F"/>
    <w:rsid w:val="00174423"/>
    <w:rsid w:val="0018383C"/>
    <w:rsid w:val="00183BFF"/>
    <w:rsid w:val="00184903"/>
    <w:rsid w:val="00187E23"/>
    <w:rsid w:val="0019372D"/>
    <w:rsid w:val="001A1691"/>
    <w:rsid w:val="001B0760"/>
    <w:rsid w:val="001C1251"/>
    <w:rsid w:val="001C1350"/>
    <w:rsid w:val="001C14E5"/>
    <w:rsid w:val="001D0AF9"/>
    <w:rsid w:val="001D0C57"/>
    <w:rsid w:val="001E02A0"/>
    <w:rsid w:val="001E4730"/>
    <w:rsid w:val="001E4D28"/>
    <w:rsid w:val="001E7F11"/>
    <w:rsid w:val="001F152C"/>
    <w:rsid w:val="001F31A6"/>
    <w:rsid w:val="001F5882"/>
    <w:rsid w:val="001F631E"/>
    <w:rsid w:val="00220523"/>
    <w:rsid w:val="0022057A"/>
    <w:rsid w:val="002265F9"/>
    <w:rsid w:val="002267E1"/>
    <w:rsid w:val="00227600"/>
    <w:rsid w:val="0023372C"/>
    <w:rsid w:val="002379D0"/>
    <w:rsid w:val="0024663F"/>
    <w:rsid w:val="00250816"/>
    <w:rsid w:val="002658C8"/>
    <w:rsid w:val="002729BB"/>
    <w:rsid w:val="00273E9B"/>
    <w:rsid w:val="002855DC"/>
    <w:rsid w:val="0029047E"/>
    <w:rsid w:val="002936E7"/>
    <w:rsid w:val="00295C70"/>
    <w:rsid w:val="002A36D9"/>
    <w:rsid w:val="002A4EAF"/>
    <w:rsid w:val="002A4FEC"/>
    <w:rsid w:val="002A5AD4"/>
    <w:rsid w:val="002C5FE8"/>
    <w:rsid w:val="002D1731"/>
    <w:rsid w:val="002E15B3"/>
    <w:rsid w:val="002E3821"/>
    <w:rsid w:val="002E7324"/>
    <w:rsid w:val="002F0EC1"/>
    <w:rsid w:val="002F7215"/>
    <w:rsid w:val="00304B55"/>
    <w:rsid w:val="003077D0"/>
    <w:rsid w:val="003107AA"/>
    <w:rsid w:val="00312998"/>
    <w:rsid w:val="00314491"/>
    <w:rsid w:val="0031550E"/>
    <w:rsid w:val="003158B4"/>
    <w:rsid w:val="00321A5C"/>
    <w:rsid w:val="00325BD5"/>
    <w:rsid w:val="0033073A"/>
    <w:rsid w:val="00335FDF"/>
    <w:rsid w:val="00342A57"/>
    <w:rsid w:val="00346B7E"/>
    <w:rsid w:val="00346C40"/>
    <w:rsid w:val="003621A8"/>
    <w:rsid w:val="00364D8C"/>
    <w:rsid w:val="0037236D"/>
    <w:rsid w:val="00375AB2"/>
    <w:rsid w:val="00384ED9"/>
    <w:rsid w:val="00385470"/>
    <w:rsid w:val="00395BB2"/>
    <w:rsid w:val="00396E8A"/>
    <w:rsid w:val="003C732F"/>
    <w:rsid w:val="003D3984"/>
    <w:rsid w:val="003D408E"/>
    <w:rsid w:val="003E7CF3"/>
    <w:rsid w:val="00402A74"/>
    <w:rsid w:val="00404CE5"/>
    <w:rsid w:val="00412CCB"/>
    <w:rsid w:val="00417085"/>
    <w:rsid w:val="004326F2"/>
    <w:rsid w:val="00446ACD"/>
    <w:rsid w:val="00446E1A"/>
    <w:rsid w:val="00450084"/>
    <w:rsid w:val="00452340"/>
    <w:rsid w:val="00454E24"/>
    <w:rsid w:val="00455763"/>
    <w:rsid w:val="0045762A"/>
    <w:rsid w:val="00462BF4"/>
    <w:rsid w:val="004646CE"/>
    <w:rsid w:val="00477900"/>
    <w:rsid w:val="00483EE9"/>
    <w:rsid w:val="00487225"/>
    <w:rsid w:val="0049508E"/>
    <w:rsid w:val="0049692E"/>
    <w:rsid w:val="004A0713"/>
    <w:rsid w:val="004A5699"/>
    <w:rsid w:val="004B0247"/>
    <w:rsid w:val="004C4366"/>
    <w:rsid w:val="004D00E1"/>
    <w:rsid w:val="004D16F9"/>
    <w:rsid w:val="004D175A"/>
    <w:rsid w:val="004D1FF0"/>
    <w:rsid w:val="004F2055"/>
    <w:rsid w:val="004F4709"/>
    <w:rsid w:val="004F6294"/>
    <w:rsid w:val="004F7A99"/>
    <w:rsid w:val="00502A31"/>
    <w:rsid w:val="00504BD0"/>
    <w:rsid w:val="00507597"/>
    <w:rsid w:val="005167BB"/>
    <w:rsid w:val="00521B67"/>
    <w:rsid w:val="00530A5A"/>
    <w:rsid w:val="00530C97"/>
    <w:rsid w:val="00535C43"/>
    <w:rsid w:val="00536F7E"/>
    <w:rsid w:val="00541367"/>
    <w:rsid w:val="0054548C"/>
    <w:rsid w:val="0054761D"/>
    <w:rsid w:val="00555E86"/>
    <w:rsid w:val="00572620"/>
    <w:rsid w:val="00576332"/>
    <w:rsid w:val="0058169C"/>
    <w:rsid w:val="0059200D"/>
    <w:rsid w:val="005A4FC7"/>
    <w:rsid w:val="005A7693"/>
    <w:rsid w:val="005C3061"/>
    <w:rsid w:val="005C484B"/>
    <w:rsid w:val="005C54CD"/>
    <w:rsid w:val="005D7D38"/>
    <w:rsid w:val="005D7DC1"/>
    <w:rsid w:val="005F16B1"/>
    <w:rsid w:val="005F191F"/>
    <w:rsid w:val="00602C5D"/>
    <w:rsid w:val="00603CAF"/>
    <w:rsid w:val="006079EE"/>
    <w:rsid w:val="00607DE5"/>
    <w:rsid w:val="00614CFC"/>
    <w:rsid w:val="00622A1F"/>
    <w:rsid w:val="00625DED"/>
    <w:rsid w:val="00637473"/>
    <w:rsid w:val="00641EDB"/>
    <w:rsid w:val="00644B81"/>
    <w:rsid w:val="00646C21"/>
    <w:rsid w:val="00650B31"/>
    <w:rsid w:val="00651D46"/>
    <w:rsid w:val="006544F3"/>
    <w:rsid w:val="00656FEC"/>
    <w:rsid w:val="00657C68"/>
    <w:rsid w:val="00665920"/>
    <w:rsid w:val="00672555"/>
    <w:rsid w:val="00676DA7"/>
    <w:rsid w:val="00685894"/>
    <w:rsid w:val="00686C40"/>
    <w:rsid w:val="00696A69"/>
    <w:rsid w:val="006A4CC4"/>
    <w:rsid w:val="006B2408"/>
    <w:rsid w:val="006B3494"/>
    <w:rsid w:val="006C30D8"/>
    <w:rsid w:val="006C61EE"/>
    <w:rsid w:val="006E7D0D"/>
    <w:rsid w:val="007020C7"/>
    <w:rsid w:val="00702C54"/>
    <w:rsid w:val="00702D92"/>
    <w:rsid w:val="00713778"/>
    <w:rsid w:val="00714AD7"/>
    <w:rsid w:val="00715923"/>
    <w:rsid w:val="007264F8"/>
    <w:rsid w:val="00730C6B"/>
    <w:rsid w:val="007353F4"/>
    <w:rsid w:val="00737A94"/>
    <w:rsid w:val="00737B54"/>
    <w:rsid w:val="00743FA6"/>
    <w:rsid w:val="0074460F"/>
    <w:rsid w:val="0075417F"/>
    <w:rsid w:val="00755415"/>
    <w:rsid w:val="007620BF"/>
    <w:rsid w:val="00765B27"/>
    <w:rsid w:val="007705D3"/>
    <w:rsid w:val="0078022A"/>
    <w:rsid w:val="00781209"/>
    <w:rsid w:val="00784A68"/>
    <w:rsid w:val="007918C6"/>
    <w:rsid w:val="00792A36"/>
    <w:rsid w:val="00792CB0"/>
    <w:rsid w:val="00792D70"/>
    <w:rsid w:val="007A0D99"/>
    <w:rsid w:val="007B14EE"/>
    <w:rsid w:val="007B19E0"/>
    <w:rsid w:val="007B334A"/>
    <w:rsid w:val="007B7E92"/>
    <w:rsid w:val="007C3D58"/>
    <w:rsid w:val="007C6A78"/>
    <w:rsid w:val="007E5C8F"/>
    <w:rsid w:val="007E6C51"/>
    <w:rsid w:val="007F56D0"/>
    <w:rsid w:val="00804688"/>
    <w:rsid w:val="0080581B"/>
    <w:rsid w:val="00810523"/>
    <w:rsid w:val="008168DD"/>
    <w:rsid w:val="00822497"/>
    <w:rsid w:val="00822CBE"/>
    <w:rsid w:val="00824EC6"/>
    <w:rsid w:val="00827D6C"/>
    <w:rsid w:val="00834470"/>
    <w:rsid w:val="008357E1"/>
    <w:rsid w:val="00835E69"/>
    <w:rsid w:val="00874526"/>
    <w:rsid w:val="00874FA3"/>
    <w:rsid w:val="00886CDD"/>
    <w:rsid w:val="00893CFF"/>
    <w:rsid w:val="00894D38"/>
    <w:rsid w:val="00896703"/>
    <w:rsid w:val="008A1B3B"/>
    <w:rsid w:val="008A3333"/>
    <w:rsid w:val="008B69AB"/>
    <w:rsid w:val="008C6488"/>
    <w:rsid w:val="008C6E38"/>
    <w:rsid w:val="008C6F30"/>
    <w:rsid w:val="008C7A07"/>
    <w:rsid w:val="008D2E11"/>
    <w:rsid w:val="008D2F94"/>
    <w:rsid w:val="008D7C33"/>
    <w:rsid w:val="008E14B9"/>
    <w:rsid w:val="008E1EFD"/>
    <w:rsid w:val="008E3D30"/>
    <w:rsid w:val="008F0E87"/>
    <w:rsid w:val="008F312D"/>
    <w:rsid w:val="0090460C"/>
    <w:rsid w:val="00915EA1"/>
    <w:rsid w:val="0091654D"/>
    <w:rsid w:val="00921A30"/>
    <w:rsid w:val="00921EF3"/>
    <w:rsid w:val="0092356B"/>
    <w:rsid w:val="00927B3F"/>
    <w:rsid w:val="00930470"/>
    <w:rsid w:val="009351F5"/>
    <w:rsid w:val="00935815"/>
    <w:rsid w:val="00940E6B"/>
    <w:rsid w:val="009419D7"/>
    <w:rsid w:val="0094360E"/>
    <w:rsid w:val="00943633"/>
    <w:rsid w:val="009446AF"/>
    <w:rsid w:val="00955F64"/>
    <w:rsid w:val="009637C8"/>
    <w:rsid w:val="00967719"/>
    <w:rsid w:val="00967A8B"/>
    <w:rsid w:val="009707F0"/>
    <w:rsid w:val="00970BA1"/>
    <w:rsid w:val="00972C62"/>
    <w:rsid w:val="00974548"/>
    <w:rsid w:val="00975501"/>
    <w:rsid w:val="00982B0D"/>
    <w:rsid w:val="00984925"/>
    <w:rsid w:val="00985864"/>
    <w:rsid w:val="00986F1D"/>
    <w:rsid w:val="00995694"/>
    <w:rsid w:val="009B152D"/>
    <w:rsid w:val="009B375D"/>
    <w:rsid w:val="009B43F8"/>
    <w:rsid w:val="009B78A5"/>
    <w:rsid w:val="009C39C2"/>
    <w:rsid w:val="009D3985"/>
    <w:rsid w:val="009D47A9"/>
    <w:rsid w:val="009E05EB"/>
    <w:rsid w:val="009E1B5B"/>
    <w:rsid w:val="009E47F8"/>
    <w:rsid w:val="009F0132"/>
    <w:rsid w:val="00A01CA5"/>
    <w:rsid w:val="00A03B68"/>
    <w:rsid w:val="00A04C6A"/>
    <w:rsid w:val="00A1149F"/>
    <w:rsid w:val="00A1296E"/>
    <w:rsid w:val="00A21363"/>
    <w:rsid w:val="00A26DDD"/>
    <w:rsid w:val="00A33D8D"/>
    <w:rsid w:val="00A360C4"/>
    <w:rsid w:val="00A40EA9"/>
    <w:rsid w:val="00A52053"/>
    <w:rsid w:val="00A55807"/>
    <w:rsid w:val="00A56B48"/>
    <w:rsid w:val="00A5752A"/>
    <w:rsid w:val="00A61122"/>
    <w:rsid w:val="00A811E8"/>
    <w:rsid w:val="00A82F25"/>
    <w:rsid w:val="00A83783"/>
    <w:rsid w:val="00A93BF8"/>
    <w:rsid w:val="00AA0A7B"/>
    <w:rsid w:val="00AA3D8B"/>
    <w:rsid w:val="00AB1D0A"/>
    <w:rsid w:val="00AB3694"/>
    <w:rsid w:val="00AC0A08"/>
    <w:rsid w:val="00AC205B"/>
    <w:rsid w:val="00AC5C4A"/>
    <w:rsid w:val="00AC64E7"/>
    <w:rsid w:val="00AD48E7"/>
    <w:rsid w:val="00AE5CA1"/>
    <w:rsid w:val="00AF3200"/>
    <w:rsid w:val="00AF4142"/>
    <w:rsid w:val="00B01136"/>
    <w:rsid w:val="00B05DC1"/>
    <w:rsid w:val="00B07E39"/>
    <w:rsid w:val="00B11FB5"/>
    <w:rsid w:val="00B1350A"/>
    <w:rsid w:val="00B253EB"/>
    <w:rsid w:val="00B3513C"/>
    <w:rsid w:val="00B367C2"/>
    <w:rsid w:val="00B37CD1"/>
    <w:rsid w:val="00B40F58"/>
    <w:rsid w:val="00B468E3"/>
    <w:rsid w:val="00B47525"/>
    <w:rsid w:val="00B51EE3"/>
    <w:rsid w:val="00B67069"/>
    <w:rsid w:val="00B71AF3"/>
    <w:rsid w:val="00B7406C"/>
    <w:rsid w:val="00B82FF1"/>
    <w:rsid w:val="00B86FC7"/>
    <w:rsid w:val="00B9506A"/>
    <w:rsid w:val="00B9551F"/>
    <w:rsid w:val="00B96B58"/>
    <w:rsid w:val="00B96C3B"/>
    <w:rsid w:val="00BA3FCD"/>
    <w:rsid w:val="00BB33A7"/>
    <w:rsid w:val="00BB5DD4"/>
    <w:rsid w:val="00BC6A95"/>
    <w:rsid w:val="00BD4BF0"/>
    <w:rsid w:val="00BD6C48"/>
    <w:rsid w:val="00BF02ED"/>
    <w:rsid w:val="00BF1E18"/>
    <w:rsid w:val="00BF2165"/>
    <w:rsid w:val="00BF34DB"/>
    <w:rsid w:val="00C007BD"/>
    <w:rsid w:val="00C01030"/>
    <w:rsid w:val="00C15531"/>
    <w:rsid w:val="00C23D47"/>
    <w:rsid w:val="00C24E6F"/>
    <w:rsid w:val="00C314B5"/>
    <w:rsid w:val="00C326BB"/>
    <w:rsid w:val="00C32B9F"/>
    <w:rsid w:val="00C36592"/>
    <w:rsid w:val="00C42E9D"/>
    <w:rsid w:val="00C51FBA"/>
    <w:rsid w:val="00C552FA"/>
    <w:rsid w:val="00C62807"/>
    <w:rsid w:val="00C648A3"/>
    <w:rsid w:val="00C65704"/>
    <w:rsid w:val="00C672E4"/>
    <w:rsid w:val="00C67B75"/>
    <w:rsid w:val="00C70020"/>
    <w:rsid w:val="00C720DF"/>
    <w:rsid w:val="00C76D6B"/>
    <w:rsid w:val="00C80AC6"/>
    <w:rsid w:val="00C91EAE"/>
    <w:rsid w:val="00C92C1F"/>
    <w:rsid w:val="00CA064F"/>
    <w:rsid w:val="00CA2A36"/>
    <w:rsid w:val="00CA387F"/>
    <w:rsid w:val="00CA4179"/>
    <w:rsid w:val="00CB28AE"/>
    <w:rsid w:val="00CB564B"/>
    <w:rsid w:val="00CB5CE9"/>
    <w:rsid w:val="00CC2F33"/>
    <w:rsid w:val="00CC7047"/>
    <w:rsid w:val="00CC70A5"/>
    <w:rsid w:val="00CE3850"/>
    <w:rsid w:val="00D06F85"/>
    <w:rsid w:val="00D11013"/>
    <w:rsid w:val="00D14FFA"/>
    <w:rsid w:val="00D401CD"/>
    <w:rsid w:val="00D46D9F"/>
    <w:rsid w:val="00D46F53"/>
    <w:rsid w:val="00D50FD9"/>
    <w:rsid w:val="00D57136"/>
    <w:rsid w:val="00D60B8C"/>
    <w:rsid w:val="00D612A0"/>
    <w:rsid w:val="00D61DB2"/>
    <w:rsid w:val="00D62BEA"/>
    <w:rsid w:val="00D7176B"/>
    <w:rsid w:val="00D76FBF"/>
    <w:rsid w:val="00D85C8E"/>
    <w:rsid w:val="00D867E5"/>
    <w:rsid w:val="00DA2AF6"/>
    <w:rsid w:val="00DA55E2"/>
    <w:rsid w:val="00DB4DB6"/>
    <w:rsid w:val="00DB5988"/>
    <w:rsid w:val="00DB6486"/>
    <w:rsid w:val="00DC1652"/>
    <w:rsid w:val="00DC472B"/>
    <w:rsid w:val="00DC4EA3"/>
    <w:rsid w:val="00DD41E3"/>
    <w:rsid w:val="00DD52FE"/>
    <w:rsid w:val="00DE0DC4"/>
    <w:rsid w:val="00DE32A5"/>
    <w:rsid w:val="00DE76D0"/>
    <w:rsid w:val="00DF699E"/>
    <w:rsid w:val="00DF731D"/>
    <w:rsid w:val="00E13BBB"/>
    <w:rsid w:val="00E20702"/>
    <w:rsid w:val="00E2476B"/>
    <w:rsid w:val="00E311A3"/>
    <w:rsid w:val="00E35EE5"/>
    <w:rsid w:val="00E41176"/>
    <w:rsid w:val="00E4250A"/>
    <w:rsid w:val="00E4475D"/>
    <w:rsid w:val="00E5041F"/>
    <w:rsid w:val="00E55487"/>
    <w:rsid w:val="00E60D28"/>
    <w:rsid w:val="00E6427B"/>
    <w:rsid w:val="00E702C8"/>
    <w:rsid w:val="00E71C7E"/>
    <w:rsid w:val="00E86C54"/>
    <w:rsid w:val="00E92152"/>
    <w:rsid w:val="00E940F3"/>
    <w:rsid w:val="00EA0904"/>
    <w:rsid w:val="00EA0EED"/>
    <w:rsid w:val="00EA2D4B"/>
    <w:rsid w:val="00EA4590"/>
    <w:rsid w:val="00EA6149"/>
    <w:rsid w:val="00EB261C"/>
    <w:rsid w:val="00EC227A"/>
    <w:rsid w:val="00EC7FC3"/>
    <w:rsid w:val="00ED2756"/>
    <w:rsid w:val="00ED5AA9"/>
    <w:rsid w:val="00EE68A4"/>
    <w:rsid w:val="00EE79C5"/>
    <w:rsid w:val="00EF2143"/>
    <w:rsid w:val="00F009D8"/>
    <w:rsid w:val="00F02121"/>
    <w:rsid w:val="00F051C0"/>
    <w:rsid w:val="00F106D4"/>
    <w:rsid w:val="00F156E0"/>
    <w:rsid w:val="00F15B40"/>
    <w:rsid w:val="00F23F23"/>
    <w:rsid w:val="00F316AD"/>
    <w:rsid w:val="00F37389"/>
    <w:rsid w:val="00F570F6"/>
    <w:rsid w:val="00F60E37"/>
    <w:rsid w:val="00F617D8"/>
    <w:rsid w:val="00F6392C"/>
    <w:rsid w:val="00F65FAA"/>
    <w:rsid w:val="00F719CC"/>
    <w:rsid w:val="00F7477B"/>
    <w:rsid w:val="00F831FB"/>
    <w:rsid w:val="00F97C07"/>
    <w:rsid w:val="00FA05B4"/>
    <w:rsid w:val="00FA5C36"/>
    <w:rsid w:val="00FA768A"/>
    <w:rsid w:val="00FA7CA1"/>
    <w:rsid w:val="00FB063E"/>
    <w:rsid w:val="00FC2C83"/>
    <w:rsid w:val="00FD5654"/>
    <w:rsid w:val="00FD7891"/>
    <w:rsid w:val="00FF2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DEE77"/>
  <w15:chartTrackingRefBased/>
  <w15:docId w15:val="{F2878DB8-4834-4CC4-8CFE-D7DEF844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1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C6F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6F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6C48"/>
    <w:pPr>
      <w:keepNext/>
      <w:spacing w:after="0" w:line="240" w:lineRule="auto"/>
      <w:ind w:left="426"/>
      <w:outlineLvl w:val="3"/>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11E8"/>
    <w:pPr>
      <w:suppressAutoHyphens/>
      <w:spacing w:before="100" w:after="0" w:line="300" w:lineRule="atLeast"/>
      <w:ind w:right="284"/>
      <w:contextualSpacing/>
      <w:jc w:val="right"/>
    </w:pPr>
    <w:rPr>
      <w:rFonts w:ascii="Calibri" w:eastAsiaTheme="majorEastAsia" w:hAnsi="Calibri" w:cstheme="majorBidi"/>
      <w:b/>
      <w:color w:val="BCCF00"/>
      <w:kern w:val="28"/>
      <w:sz w:val="24"/>
      <w:szCs w:val="52"/>
    </w:rPr>
  </w:style>
  <w:style w:type="character" w:customStyle="1" w:styleId="TitleChar">
    <w:name w:val="Title Char"/>
    <w:basedOn w:val="DefaultParagraphFont"/>
    <w:link w:val="Title"/>
    <w:uiPriority w:val="10"/>
    <w:rsid w:val="00A811E8"/>
    <w:rPr>
      <w:rFonts w:ascii="Calibri" w:eastAsiaTheme="majorEastAsia" w:hAnsi="Calibri" w:cstheme="majorBidi"/>
      <w:b/>
      <w:color w:val="BCCF00"/>
      <w:kern w:val="28"/>
      <w:sz w:val="24"/>
      <w:szCs w:val="52"/>
    </w:rPr>
  </w:style>
  <w:style w:type="paragraph" w:styleId="Subtitle">
    <w:name w:val="Subtitle"/>
    <w:basedOn w:val="Normal"/>
    <w:next w:val="Normal"/>
    <w:link w:val="SubtitleChar"/>
    <w:uiPriority w:val="11"/>
    <w:qFormat/>
    <w:rsid w:val="00A811E8"/>
    <w:pPr>
      <w:numPr>
        <w:ilvl w:val="1"/>
      </w:numPr>
      <w:suppressAutoHyphens/>
      <w:spacing w:before="100" w:after="800" w:line="260" w:lineRule="atLeast"/>
      <w:ind w:right="284"/>
      <w:contextualSpacing/>
      <w:jc w:val="right"/>
    </w:pPr>
    <w:rPr>
      <w:rFonts w:ascii="Calibri" w:eastAsiaTheme="majorEastAsia" w:hAnsi="Calibri" w:cstheme="majorBidi"/>
      <w:iCs/>
      <w:color w:val="BCCF00"/>
      <w:szCs w:val="24"/>
    </w:rPr>
  </w:style>
  <w:style w:type="character" w:customStyle="1" w:styleId="SubtitleChar">
    <w:name w:val="Subtitle Char"/>
    <w:basedOn w:val="DefaultParagraphFont"/>
    <w:link w:val="Subtitle"/>
    <w:uiPriority w:val="11"/>
    <w:rsid w:val="00A811E8"/>
    <w:rPr>
      <w:rFonts w:ascii="Calibri" w:eastAsiaTheme="majorEastAsia" w:hAnsi="Calibri" w:cstheme="majorBidi"/>
      <w:iCs/>
      <w:color w:val="BCCF00"/>
      <w:szCs w:val="24"/>
    </w:rPr>
  </w:style>
  <w:style w:type="paragraph" w:styleId="ListParagraph">
    <w:name w:val="List Paragraph"/>
    <w:basedOn w:val="Normal"/>
    <w:link w:val="ListParagraphChar"/>
    <w:uiPriority w:val="34"/>
    <w:qFormat/>
    <w:rsid w:val="00A811E8"/>
    <w:pPr>
      <w:ind w:left="720"/>
      <w:contextualSpacing/>
    </w:pPr>
  </w:style>
  <w:style w:type="character" w:customStyle="1" w:styleId="Heading1Char">
    <w:name w:val="Heading 1 Char"/>
    <w:basedOn w:val="DefaultParagraphFont"/>
    <w:link w:val="Heading1"/>
    <w:rsid w:val="00A811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811E8"/>
    <w:pPr>
      <w:outlineLvl w:val="9"/>
    </w:pPr>
    <w:rPr>
      <w:lang w:val="en-US"/>
    </w:rPr>
  </w:style>
  <w:style w:type="paragraph" w:styleId="TOC2">
    <w:name w:val="toc 2"/>
    <w:basedOn w:val="Normal"/>
    <w:next w:val="Normal"/>
    <w:autoRedefine/>
    <w:uiPriority w:val="39"/>
    <w:unhideWhenUsed/>
    <w:rsid w:val="00676DA7"/>
    <w:pPr>
      <w:tabs>
        <w:tab w:val="left" w:pos="880"/>
        <w:tab w:val="right" w:leader="dot" w:pos="9628"/>
      </w:tabs>
      <w:spacing w:after="100"/>
    </w:pPr>
    <w:rPr>
      <w:rFonts w:eastAsia="Times New Roman" w:cs="Times New Roman"/>
      <w:lang w:val="en-US"/>
    </w:rPr>
  </w:style>
  <w:style w:type="paragraph" w:styleId="TOC1">
    <w:name w:val="toc 1"/>
    <w:basedOn w:val="Normal"/>
    <w:next w:val="Normal"/>
    <w:autoRedefine/>
    <w:uiPriority w:val="39"/>
    <w:unhideWhenUsed/>
    <w:rsid w:val="00940E6B"/>
    <w:rPr>
      <w:rFonts w:cstheme="minorHAnsi"/>
    </w:rPr>
  </w:style>
  <w:style w:type="paragraph" w:styleId="TOC3">
    <w:name w:val="toc 3"/>
    <w:basedOn w:val="Normal"/>
    <w:next w:val="Normal"/>
    <w:autoRedefine/>
    <w:uiPriority w:val="39"/>
    <w:unhideWhenUsed/>
    <w:rsid w:val="003107AA"/>
    <w:pPr>
      <w:tabs>
        <w:tab w:val="left" w:pos="880"/>
        <w:tab w:val="right" w:leader="dot" w:pos="9016"/>
      </w:tabs>
      <w:spacing w:after="0" w:line="360" w:lineRule="auto"/>
      <w:ind w:left="1071" w:hanging="357"/>
    </w:pPr>
    <w:rPr>
      <w:rFonts w:eastAsia="Calibri" w:cs="Times New Roman"/>
      <w:b/>
      <w:lang w:val="en-US"/>
    </w:rPr>
  </w:style>
  <w:style w:type="character" w:customStyle="1" w:styleId="Heading3Char">
    <w:name w:val="Heading 3 Char"/>
    <w:basedOn w:val="DefaultParagraphFont"/>
    <w:link w:val="Heading3"/>
    <w:uiPriority w:val="9"/>
    <w:semiHidden/>
    <w:rsid w:val="008C6F3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C6F30"/>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unhideWhenUsed/>
    <w:rsid w:val="0049508E"/>
    <w:pPr>
      <w:spacing w:after="0" w:line="240" w:lineRule="auto"/>
      <w:ind w:left="360"/>
    </w:pPr>
    <w:rPr>
      <w:lang w:val="en-US"/>
    </w:rPr>
  </w:style>
  <w:style w:type="character" w:customStyle="1" w:styleId="BodyTextIndentChar">
    <w:name w:val="Body Text Indent Char"/>
    <w:basedOn w:val="DefaultParagraphFont"/>
    <w:link w:val="BodyTextIndent"/>
    <w:uiPriority w:val="99"/>
    <w:rsid w:val="0049508E"/>
    <w:rPr>
      <w:lang w:val="en-US"/>
    </w:rPr>
  </w:style>
  <w:style w:type="paragraph" w:styleId="BodyText">
    <w:name w:val="Body Text"/>
    <w:basedOn w:val="Normal"/>
    <w:link w:val="BodyTextChar"/>
    <w:uiPriority w:val="99"/>
    <w:unhideWhenUsed/>
    <w:rsid w:val="007B19E0"/>
    <w:pPr>
      <w:spacing w:after="120"/>
    </w:pPr>
  </w:style>
  <w:style w:type="character" w:customStyle="1" w:styleId="BodyTextChar">
    <w:name w:val="Body Text Char"/>
    <w:basedOn w:val="DefaultParagraphFont"/>
    <w:link w:val="BodyText"/>
    <w:uiPriority w:val="99"/>
    <w:rsid w:val="007B19E0"/>
  </w:style>
  <w:style w:type="paragraph" w:styleId="FootnoteText">
    <w:name w:val="footnote text"/>
    <w:basedOn w:val="Normal"/>
    <w:link w:val="FootnoteTextChar"/>
    <w:uiPriority w:val="99"/>
    <w:unhideWhenUsed/>
    <w:qFormat/>
    <w:rsid w:val="007B19E0"/>
    <w:pPr>
      <w:spacing w:after="0" w:line="240" w:lineRule="auto"/>
    </w:pPr>
    <w:rPr>
      <w:sz w:val="20"/>
      <w:szCs w:val="20"/>
    </w:rPr>
  </w:style>
  <w:style w:type="character" w:customStyle="1" w:styleId="FootnoteTextChar">
    <w:name w:val="Footnote Text Char"/>
    <w:basedOn w:val="DefaultParagraphFont"/>
    <w:link w:val="FootnoteText"/>
    <w:uiPriority w:val="99"/>
    <w:rsid w:val="007B19E0"/>
    <w:rPr>
      <w:sz w:val="20"/>
      <w:szCs w:val="20"/>
    </w:rPr>
  </w:style>
  <w:style w:type="paragraph" w:styleId="CommentText">
    <w:name w:val="annotation text"/>
    <w:basedOn w:val="Normal"/>
    <w:link w:val="CommentTextChar"/>
    <w:uiPriority w:val="99"/>
    <w:semiHidden/>
    <w:unhideWhenUsed/>
    <w:rsid w:val="007B19E0"/>
    <w:pPr>
      <w:spacing w:line="240" w:lineRule="auto"/>
    </w:pPr>
    <w:rPr>
      <w:sz w:val="20"/>
      <w:szCs w:val="20"/>
    </w:rPr>
  </w:style>
  <w:style w:type="character" w:customStyle="1" w:styleId="CommentTextChar">
    <w:name w:val="Comment Text Char"/>
    <w:basedOn w:val="DefaultParagraphFont"/>
    <w:link w:val="CommentText"/>
    <w:uiPriority w:val="99"/>
    <w:semiHidden/>
    <w:rsid w:val="007B19E0"/>
    <w:rPr>
      <w:sz w:val="20"/>
      <w:szCs w:val="20"/>
    </w:rPr>
  </w:style>
  <w:style w:type="character" w:styleId="FootnoteReference">
    <w:name w:val="footnote reference"/>
    <w:semiHidden/>
    <w:unhideWhenUsed/>
    <w:rsid w:val="007B19E0"/>
    <w:rPr>
      <w:vertAlign w:val="superscript"/>
    </w:rPr>
  </w:style>
  <w:style w:type="character" w:styleId="CommentReference">
    <w:name w:val="annotation reference"/>
    <w:uiPriority w:val="99"/>
    <w:semiHidden/>
    <w:unhideWhenUsed/>
    <w:rsid w:val="007B19E0"/>
    <w:rPr>
      <w:sz w:val="16"/>
      <w:szCs w:val="16"/>
    </w:rPr>
  </w:style>
  <w:style w:type="paragraph" w:customStyle="1" w:styleId="Default">
    <w:name w:val="Default"/>
    <w:rsid w:val="007B19E0"/>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7B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9E0"/>
    <w:rPr>
      <w:rFonts w:ascii="Segoe UI" w:hAnsi="Segoe UI" w:cs="Segoe UI"/>
      <w:sz w:val="18"/>
      <w:szCs w:val="18"/>
    </w:rPr>
  </w:style>
  <w:style w:type="paragraph" w:styleId="Revision">
    <w:name w:val="Revision"/>
    <w:hidden/>
    <w:uiPriority w:val="99"/>
    <w:semiHidden/>
    <w:rsid w:val="00011A11"/>
    <w:pPr>
      <w:spacing w:after="0" w:line="240" w:lineRule="auto"/>
    </w:pPr>
  </w:style>
  <w:style w:type="paragraph" w:styleId="BodyTextIndent2">
    <w:name w:val="Body Text Indent 2"/>
    <w:basedOn w:val="Normal"/>
    <w:link w:val="BodyTextIndent2Char"/>
    <w:uiPriority w:val="99"/>
    <w:unhideWhenUsed/>
    <w:rsid w:val="00011A11"/>
    <w:pPr>
      <w:suppressAutoHyphens/>
      <w:spacing w:after="0" w:line="240" w:lineRule="auto"/>
      <w:ind w:left="360"/>
      <w:jc w:val="both"/>
    </w:pPr>
    <w:rPr>
      <w:rFonts w:ascii="Calibri" w:eastAsia="Calibri" w:hAnsi="Calibri" w:cs="Times New Roman"/>
      <w:color w:val="404040"/>
    </w:rPr>
  </w:style>
  <w:style w:type="character" w:customStyle="1" w:styleId="BodyTextIndent2Char">
    <w:name w:val="Body Text Indent 2 Char"/>
    <w:basedOn w:val="DefaultParagraphFont"/>
    <w:link w:val="BodyTextIndent2"/>
    <w:uiPriority w:val="99"/>
    <w:rsid w:val="00011A11"/>
    <w:rPr>
      <w:rFonts w:ascii="Calibri" w:eastAsia="Calibri" w:hAnsi="Calibri" w:cs="Times New Roman"/>
      <w:color w:val="404040"/>
    </w:rPr>
  </w:style>
  <w:style w:type="paragraph" w:styleId="BodyTextIndent3">
    <w:name w:val="Body Text Indent 3"/>
    <w:basedOn w:val="Normal"/>
    <w:link w:val="BodyTextIndent3Char"/>
    <w:uiPriority w:val="99"/>
    <w:unhideWhenUsed/>
    <w:rsid w:val="00EC227A"/>
    <w:pPr>
      <w:spacing w:after="0" w:line="240" w:lineRule="auto"/>
      <w:ind w:left="720"/>
    </w:pPr>
    <w:rPr>
      <w:i/>
      <w:lang w:val="en-US"/>
    </w:rPr>
  </w:style>
  <w:style w:type="character" w:customStyle="1" w:styleId="BodyTextIndent3Char">
    <w:name w:val="Body Text Indent 3 Char"/>
    <w:basedOn w:val="DefaultParagraphFont"/>
    <w:link w:val="BodyTextIndent3"/>
    <w:uiPriority w:val="99"/>
    <w:rsid w:val="00EC227A"/>
    <w:rPr>
      <w:i/>
      <w:lang w:val="en-US"/>
    </w:rPr>
  </w:style>
  <w:style w:type="paragraph" w:styleId="CommentSubject">
    <w:name w:val="annotation subject"/>
    <w:basedOn w:val="CommentText"/>
    <w:next w:val="CommentText"/>
    <w:link w:val="CommentSubjectChar"/>
    <w:uiPriority w:val="99"/>
    <w:semiHidden/>
    <w:unhideWhenUsed/>
    <w:rsid w:val="00EA2D4B"/>
    <w:rPr>
      <w:b/>
      <w:bCs/>
    </w:rPr>
  </w:style>
  <w:style w:type="character" w:customStyle="1" w:styleId="CommentSubjectChar">
    <w:name w:val="Comment Subject Char"/>
    <w:basedOn w:val="CommentTextChar"/>
    <w:link w:val="CommentSubject"/>
    <w:uiPriority w:val="99"/>
    <w:semiHidden/>
    <w:rsid w:val="00EA2D4B"/>
    <w:rPr>
      <w:b/>
      <w:bCs/>
      <w:sz w:val="20"/>
      <w:szCs w:val="20"/>
    </w:rPr>
  </w:style>
  <w:style w:type="character" w:styleId="Hyperlink">
    <w:name w:val="Hyperlink"/>
    <w:basedOn w:val="DefaultParagraphFont"/>
    <w:uiPriority w:val="99"/>
    <w:unhideWhenUsed/>
    <w:rsid w:val="00EA2D4B"/>
    <w:rPr>
      <w:color w:val="0563C1" w:themeColor="hyperlink"/>
      <w:u w:val="single"/>
    </w:rPr>
  </w:style>
  <w:style w:type="paragraph" w:styleId="Header">
    <w:name w:val="header"/>
    <w:basedOn w:val="Normal"/>
    <w:link w:val="HeaderChar"/>
    <w:uiPriority w:val="99"/>
    <w:unhideWhenUsed/>
    <w:rsid w:val="00A01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A5"/>
  </w:style>
  <w:style w:type="paragraph" w:styleId="Footer">
    <w:name w:val="footer"/>
    <w:basedOn w:val="Normal"/>
    <w:link w:val="FooterChar"/>
    <w:uiPriority w:val="99"/>
    <w:unhideWhenUsed/>
    <w:rsid w:val="00A01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CA5"/>
  </w:style>
  <w:style w:type="character" w:styleId="FollowedHyperlink">
    <w:name w:val="FollowedHyperlink"/>
    <w:basedOn w:val="DefaultParagraphFont"/>
    <w:uiPriority w:val="99"/>
    <w:semiHidden/>
    <w:unhideWhenUsed/>
    <w:rsid w:val="0024663F"/>
    <w:rPr>
      <w:color w:val="954F72" w:themeColor="followedHyperlink"/>
      <w:u w:val="single"/>
    </w:rPr>
  </w:style>
  <w:style w:type="character" w:customStyle="1" w:styleId="Heading4Char">
    <w:name w:val="Heading 4 Char"/>
    <w:basedOn w:val="DefaultParagraphFont"/>
    <w:link w:val="Heading4"/>
    <w:uiPriority w:val="9"/>
    <w:rsid w:val="00BD6C48"/>
    <w:rPr>
      <w:u w:val="single"/>
      <w:lang w:val="en-US"/>
    </w:rPr>
  </w:style>
  <w:style w:type="paragraph" w:customStyle="1" w:styleId="Style1">
    <w:name w:val="Style1"/>
    <w:basedOn w:val="Heading1"/>
    <w:link w:val="Style1Char"/>
    <w:qFormat/>
    <w:rsid w:val="001E4730"/>
    <w:pPr>
      <w:numPr>
        <w:numId w:val="1"/>
      </w:numPr>
    </w:pPr>
    <w:rPr>
      <w:rFonts w:asciiTheme="minorHAnsi" w:hAnsiTheme="minorHAnsi"/>
      <w:b/>
      <w:color w:val="000000" w:themeColor="text1"/>
      <w:sz w:val="22"/>
    </w:rPr>
  </w:style>
  <w:style w:type="paragraph" w:customStyle="1" w:styleId="DocumentGroup">
    <w:name w:val="Document Group"/>
    <w:basedOn w:val="Title"/>
    <w:qFormat/>
    <w:rsid w:val="00940E6B"/>
    <w:pPr>
      <w:spacing w:before="0" w:after="1000" w:line="340" w:lineRule="atLeast"/>
    </w:pPr>
    <w:rPr>
      <w:rFonts w:eastAsia="MS Gothic" w:cs="Times New Roman"/>
      <w:color w:val="FFFFFF"/>
      <w:sz w:val="28"/>
      <w:lang w:val="en-US"/>
    </w:rPr>
  </w:style>
  <w:style w:type="character" w:customStyle="1" w:styleId="Style1Char">
    <w:name w:val="Style1 Char"/>
    <w:basedOn w:val="Heading1Char"/>
    <w:link w:val="Style1"/>
    <w:rsid w:val="001E4730"/>
    <w:rPr>
      <w:rFonts w:asciiTheme="majorHAnsi" w:eastAsiaTheme="majorEastAsia" w:hAnsiTheme="majorHAnsi" w:cstheme="majorBidi"/>
      <w:b/>
      <w:color w:val="000000" w:themeColor="text1"/>
      <w:sz w:val="32"/>
      <w:szCs w:val="32"/>
    </w:rPr>
  </w:style>
  <w:style w:type="paragraph" w:customStyle="1" w:styleId="NLDheading">
    <w:name w:val="NLD heading"/>
    <w:basedOn w:val="Heading2"/>
    <w:qFormat/>
    <w:rsid w:val="00940E6B"/>
    <w:pPr>
      <w:suppressAutoHyphens/>
      <w:spacing w:before="240" w:after="100" w:line="260" w:lineRule="atLeast"/>
      <w:contextualSpacing/>
    </w:pPr>
    <w:rPr>
      <w:rFonts w:ascii="Calibri" w:eastAsia="MS Gothic" w:hAnsi="Calibri" w:cs="Times New Roman"/>
      <w:b/>
      <w:bCs/>
      <w:color w:val="947246"/>
      <w:sz w:val="22"/>
    </w:rPr>
  </w:style>
  <w:style w:type="numbering" w:customStyle="1" w:styleId="Style2">
    <w:name w:val="Style2"/>
    <w:basedOn w:val="NoList"/>
    <w:uiPriority w:val="99"/>
    <w:rsid w:val="00B9551F"/>
    <w:pPr>
      <w:numPr>
        <w:numId w:val="2"/>
      </w:numPr>
    </w:pPr>
  </w:style>
  <w:style w:type="paragraph" w:customStyle="1" w:styleId="NLDTEXT">
    <w:name w:val="NLD TEXT"/>
    <w:basedOn w:val="ListParagraph"/>
    <w:qFormat/>
    <w:rsid w:val="00B9551F"/>
    <w:pPr>
      <w:numPr>
        <w:numId w:val="3"/>
      </w:numPr>
    </w:pPr>
  </w:style>
  <w:style w:type="paragraph" w:customStyle="1" w:styleId="NLDsubheading1">
    <w:name w:val="NLD sub heading 1"/>
    <w:basedOn w:val="TOC3"/>
    <w:qFormat/>
    <w:rsid w:val="00576332"/>
    <w:pPr>
      <w:ind w:left="360" w:hanging="360"/>
    </w:pPr>
  </w:style>
  <w:style w:type="paragraph" w:customStyle="1" w:styleId="NLDsubheading2">
    <w:name w:val="NLD subheading 2"/>
    <w:basedOn w:val="Normal"/>
    <w:qFormat/>
    <w:rsid w:val="00576332"/>
    <w:rPr>
      <w:i/>
      <w:u w:val="single"/>
    </w:rPr>
  </w:style>
  <w:style w:type="character" w:styleId="UnresolvedMention">
    <w:name w:val="Unresolved Mention"/>
    <w:basedOn w:val="DefaultParagraphFont"/>
    <w:uiPriority w:val="99"/>
    <w:semiHidden/>
    <w:unhideWhenUsed/>
    <w:rsid w:val="004F4709"/>
    <w:rPr>
      <w:color w:val="605E5C"/>
      <w:shd w:val="clear" w:color="auto" w:fill="E1DFDD"/>
    </w:rPr>
  </w:style>
  <w:style w:type="character" w:customStyle="1" w:styleId="ListParagraphChar">
    <w:name w:val="List Paragraph Char"/>
    <w:basedOn w:val="DefaultParagraphFont"/>
    <w:link w:val="ListParagraph"/>
    <w:uiPriority w:val="34"/>
    <w:locked/>
    <w:rsid w:val="000C0433"/>
  </w:style>
  <w:style w:type="character" w:customStyle="1" w:styleId="DotpointChar">
    <w:name w:val="Dot point Char"/>
    <w:basedOn w:val="ListParagraphChar"/>
    <w:link w:val="Dotpoint"/>
    <w:locked/>
    <w:rsid w:val="000C0433"/>
  </w:style>
  <w:style w:type="paragraph" w:customStyle="1" w:styleId="Dotpoint">
    <w:name w:val="Dot point"/>
    <w:basedOn w:val="ListParagraph"/>
    <w:link w:val="DotpointChar"/>
    <w:qFormat/>
    <w:rsid w:val="000C0433"/>
    <w:pPr>
      <w:numPr>
        <w:ilvl w:val="1"/>
        <w:numId w:val="30"/>
      </w:numPr>
      <w:spacing w:after="0" w:line="360" w:lineRule="auto"/>
      <w:contextualSpacing w:val="0"/>
      <w:jc w:val="both"/>
    </w:pPr>
  </w:style>
  <w:style w:type="character" w:customStyle="1" w:styleId="ssleftalign">
    <w:name w:val="ss_leftalign"/>
    <w:basedOn w:val="DefaultParagraphFont"/>
    <w:rsid w:val="000C0433"/>
  </w:style>
  <w:style w:type="character" w:customStyle="1" w:styleId="ssrolluprptrline">
    <w:name w:val="ss_rolluprptrline"/>
    <w:basedOn w:val="DefaultParagraphFont"/>
    <w:rsid w:val="000C0433"/>
  </w:style>
  <w:style w:type="character" w:customStyle="1" w:styleId="ssit">
    <w:name w:val="ss_it"/>
    <w:basedOn w:val="DefaultParagraphFont"/>
    <w:rsid w:val="000C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01954">
      <w:bodyDiv w:val="1"/>
      <w:marLeft w:val="0"/>
      <w:marRight w:val="0"/>
      <w:marTop w:val="0"/>
      <w:marBottom w:val="0"/>
      <w:divBdr>
        <w:top w:val="none" w:sz="0" w:space="0" w:color="auto"/>
        <w:left w:val="none" w:sz="0" w:space="0" w:color="auto"/>
        <w:bottom w:val="none" w:sz="0" w:space="0" w:color="auto"/>
        <w:right w:val="none" w:sz="0" w:space="0" w:color="auto"/>
      </w:divBdr>
    </w:div>
    <w:div w:id="499657981">
      <w:bodyDiv w:val="1"/>
      <w:marLeft w:val="0"/>
      <w:marRight w:val="0"/>
      <w:marTop w:val="0"/>
      <w:marBottom w:val="0"/>
      <w:divBdr>
        <w:top w:val="none" w:sz="0" w:space="0" w:color="auto"/>
        <w:left w:val="none" w:sz="0" w:space="0" w:color="auto"/>
        <w:bottom w:val="none" w:sz="0" w:space="0" w:color="auto"/>
        <w:right w:val="none" w:sz="0" w:space="0" w:color="auto"/>
      </w:divBdr>
    </w:div>
    <w:div w:id="508831932">
      <w:bodyDiv w:val="1"/>
      <w:marLeft w:val="0"/>
      <w:marRight w:val="0"/>
      <w:marTop w:val="0"/>
      <w:marBottom w:val="0"/>
      <w:divBdr>
        <w:top w:val="none" w:sz="0" w:space="0" w:color="auto"/>
        <w:left w:val="none" w:sz="0" w:space="0" w:color="auto"/>
        <w:bottom w:val="none" w:sz="0" w:space="0" w:color="auto"/>
        <w:right w:val="none" w:sz="0" w:space="0" w:color="auto"/>
      </w:divBdr>
      <w:divsChild>
        <w:div w:id="555047206">
          <w:marLeft w:val="0"/>
          <w:marRight w:val="0"/>
          <w:marTop w:val="0"/>
          <w:marBottom w:val="0"/>
          <w:divBdr>
            <w:top w:val="none" w:sz="0" w:space="0" w:color="auto"/>
            <w:left w:val="none" w:sz="0" w:space="0" w:color="auto"/>
            <w:bottom w:val="none" w:sz="0" w:space="0" w:color="auto"/>
            <w:right w:val="none" w:sz="0" w:space="0" w:color="auto"/>
          </w:divBdr>
          <w:divsChild>
            <w:div w:id="1030423903">
              <w:marLeft w:val="0"/>
              <w:marRight w:val="0"/>
              <w:marTop w:val="0"/>
              <w:marBottom w:val="0"/>
              <w:divBdr>
                <w:top w:val="none" w:sz="0" w:space="0" w:color="auto"/>
                <w:left w:val="none" w:sz="0" w:space="0" w:color="auto"/>
                <w:bottom w:val="none" w:sz="0" w:space="0" w:color="auto"/>
                <w:right w:val="none" w:sz="0" w:space="0" w:color="auto"/>
              </w:divBdr>
              <w:divsChild>
                <w:div w:id="1082795826">
                  <w:marLeft w:val="0"/>
                  <w:marRight w:val="0"/>
                  <w:marTop w:val="0"/>
                  <w:marBottom w:val="0"/>
                  <w:divBdr>
                    <w:top w:val="none" w:sz="0" w:space="0" w:color="auto"/>
                    <w:left w:val="none" w:sz="0" w:space="0" w:color="auto"/>
                    <w:bottom w:val="none" w:sz="0" w:space="0" w:color="auto"/>
                    <w:right w:val="none" w:sz="0" w:space="0" w:color="auto"/>
                  </w:divBdr>
                  <w:divsChild>
                    <w:div w:id="1445225290">
                      <w:marLeft w:val="0"/>
                      <w:marRight w:val="0"/>
                      <w:marTop w:val="0"/>
                      <w:marBottom w:val="0"/>
                      <w:divBdr>
                        <w:top w:val="none" w:sz="0" w:space="0" w:color="auto"/>
                        <w:left w:val="none" w:sz="0" w:space="0" w:color="auto"/>
                        <w:bottom w:val="none" w:sz="0" w:space="0" w:color="auto"/>
                        <w:right w:val="none" w:sz="0" w:space="0" w:color="auto"/>
                      </w:divBdr>
                      <w:divsChild>
                        <w:div w:id="2107842227">
                          <w:marLeft w:val="0"/>
                          <w:marRight w:val="0"/>
                          <w:marTop w:val="0"/>
                          <w:marBottom w:val="0"/>
                          <w:divBdr>
                            <w:top w:val="none" w:sz="0" w:space="0" w:color="auto"/>
                            <w:left w:val="none" w:sz="0" w:space="0" w:color="auto"/>
                            <w:bottom w:val="none" w:sz="0" w:space="0" w:color="auto"/>
                            <w:right w:val="none" w:sz="0" w:space="0" w:color="auto"/>
                          </w:divBdr>
                          <w:divsChild>
                            <w:div w:id="131943356">
                              <w:marLeft w:val="0"/>
                              <w:marRight w:val="0"/>
                              <w:marTop w:val="0"/>
                              <w:marBottom w:val="0"/>
                              <w:divBdr>
                                <w:top w:val="none" w:sz="0" w:space="0" w:color="auto"/>
                                <w:left w:val="none" w:sz="0" w:space="0" w:color="auto"/>
                                <w:bottom w:val="none" w:sz="0" w:space="0" w:color="auto"/>
                                <w:right w:val="none" w:sz="0" w:space="0" w:color="auto"/>
                              </w:divBdr>
                              <w:divsChild>
                                <w:div w:id="1595015925">
                                  <w:marLeft w:val="0"/>
                                  <w:marRight w:val="0"/>
                                  <w:marTop w:val="0"/>
                                  <w:marBottom w:val="0"/>
                                  <w:divBdr>
                                    <w:top w:val="none" w:sz="0" w:space="0" w:color="auto"/>
                                    <w:left w:val="none" w:sz="0" w:space="0" w:color="auto"/>
                                    <w:bottom w:val="none" w:sz="0" w:space="0" w:color="auto"/>
                                    <w:right w:val="none" w:sz="0" w:space="0" w:color="auto"/>
                                  </w:divBdr>
                                  <w:divsChild>
                                    <w:div w:id="1283808615">
                                      <w:marLeft w:val="0"/>
                                      <w:marRight w:val="0"/>
                                      <w:marTop w:val="0"/>
                                      <w:marBottom w:val="0"/>
                                      <w:divBdr>
                                        <w:top w:val="none" w:sz="0" w:space="0" w:color="auto"/>
                                        <w:left w:val="none" w:sz="0" w:space="0" w:color="auto"/>
                                        <w:bottom w:val="none" w:sz="0" w:space="0" w:color="auto"/>
                                        <w:right w:val="none" w:sz="0" w:space="0" w:color="auto"/>
                                      </w:divBdr>
                                      <w:divsChild>
                                        <w:div w:id="757021178">
                                          <w:marLeft w:val="0"/>
                                          <w:marRight w:val="0"/>
                                          <w:marTop w:val="0"/>
                                          <w:marBottom w:val="0"/>
                                          <w:divBdr>
                                            <w:top w:val="none" w:sz="0" w:space="0" w:color="auto"/>
                                            <w:left w:val="none" w:sz="0" w:space="0" w:color="auto"/>
                                            <w:bottom w:val="none" w:sz="0" w:space="0" w:color="auto"/>
                                            <w:right w:val="none" w:sz="0" w:space="0" w:color="auto"/>
                                          </w:divBdr>
                                          <w:divsChild>
                                            <w:div w:id="24789765">
                                              <w:marLeft w:val="0"/>
                                              <w:marRight w:val="0"/>
                                              <w:marTop w:val="0"/>
                                              <w:marBottom w:val="0"/>
                                              <w:divBdr>
                                                <w:top w:val="none" w:sz="0" w:space="0" w:color="auto"/>
                                                <w:left w:val="none" w:sz="0" w:space="0" w:color="auto"/>
                                                <w:bottom w:val="none" w:sz="0" w:space="0" w:color="auto"/>
                                                <w:right w:val="none" w:sz="0" w:space="0" w:color="auto"/>
                                              </w:divBdr>
                                              <w:divsChild>
                                                <w:div w:id="1064062311">
                                                  <w:marLeft w:val="0"/>
                                                  <w:marRight w:val="0"/>
                                                  <w:marTop w:val="0"/>
                                                  <w:marBottom w:val="0"/>
                                                  <w:divBdr>
                                                    <w:top w:val="none" w:sz="0" w:space="0" w:color="auto"/>
                                                    <w:left w:val="none" w:sz="0" w:space="0" w:color="auto"/>
                                                    <w:bottom w:val="none" w:sz="0" w:space="0" w:color="auto"/>
                                                    <w:right w:val="none" w:sz="0" w:space="0" w:color="auto"/>
                                                  </w:divBdr>
                                                  <w:divsChild>
                                                    <w:div w:id="745306576">
                                                      <w:marLeft w:val="0"/>
                                                      <w:marRight w:val="0"/>
                                                      <w:marTop w:val="0"/>
                                                      <w:marBottom w:val="0"/>
                                                      <w:divBdr>
                                                        <w:top w:val="none" w:sz="0" w:space="0" w:color="auto"/>
                                                        <w:left w:val="none" w:sz="0" w:space="0" w:color="auto"/>
                                                        <w:bottom w:val="none" w:sz="0" w:space="0" w:color="auto"/>
                                                        <w:right w:val="none" w:sz="0" w:space="0" w:color="auto"/>
                                                      </w:divBdr>
                                                      <w:divsChild>
                                                        <w:div w:id="516426293">
                                                          <w:marLeft w:val="0"/>
                                                          <w:marRight w:val="0"/>
                                                          <w:marTop w:val="0"/>
                                                          <w:marBottom w:val="0"/>
                                                          <w:divBdr>
                                                            <w:top w:val="none" w:sz="0" w:space="0" w:color="auto"/>
                                                            <w:left w:val="none" w:sz="0" w:space="0" w:color="auto"/>
                                                            <w:bottom w:val="none" w:sz="0" w:space="0" w:color="auto"/>
                                                            <w:right w:val="none" w:sz="0" w:space="0" w:color="auto"/>
                                                          </w:divBdr>
                                                          <w:divsChild>
                                                            <w:div w:id="467010621">
                                                              <w:marLeft w:val="0"/>
                                                              <w:marRight w:val="0"/>
                                                              <w:marTop w:val="0"/>
                                                              <w:marBottom w:val="0"/>
                                                              <w:divBdr>
                                                                <w:top w:val="none" w:sz="0" w:space="0" w:color="auto"/>
                                                                <w:left w:val="none" w:sz="0" w:space="0" w:color="auto"/>
                                                                <w:bottom w:val="none" w:sz="0" w:space="0" w:color="auto"/>
                                                                <w:right w:val="none" w:sz="0" w:space="0" w:color="auto"/>
                                                              </w:divBdr>
                                                              <w:divsChild>
                                                                <w:div w:id="17594486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015550">
      <w:bodyDiv w:val="1"/>
      <w:marLeft w:val="0"/>
      <w:marRight w:val="0"/>
      <w:marTop w:val="0"/>
      <w:marBottom w:val="0"/>
      <w:divBdr>
        <w:top w:val="none" w:sz="0" w:space="0" w:color="auto"/>
        <w:left w:val="none" w:sz="0" w:space="0" w:color="auto"/>
        <w:bottom w:val="none" w:sz="0" w:space="0" w:color="auto"/>
        <w:right w:val="none" w:sz="0" w:space="0" w:color="auto"/>
      </w:divBdr>
    </w:div>
    <w:div w:id="596643142">
      <w:bodyDiv w:val="1"/>
      <w:marLeft w:val="0"/>
      <w:marRight w:val="0"/>
      <w:marTop w:val="0"/>
      <w:marBottom w:val="0"/>
      <w:divBdr>
        <w:top w:val="none" w:sz="0" w:space="0" w:color="auto"/>
        <w:left w:val="none" w:sz="0" w:space="0" w:color="auto"/>
        <w:bottom w:val="none" w:sz="0" w:space="0" w:color="auto"/>
        <w:right w:val="none" w:sz="0" w:space="0" w:color="auto"/>
      </w:divBdr>
    </w:div>
    <w:div w:id="717707994">
      <w:bodyDiv w:val="1"/>
      <w:marLeft w:val="0"/>
      <w:marRight w:val="0"/>
      <w:marTop w:val="0"/>
      <w:marBottom w:val="0"/>
      <w:divBdr>
        <w:top w:val="none" w:sz="0" w:space="0" w:color="auto"/>
        <w:left w:val="none" w:sz="0" w:space="0" w:color="auto"/>
        <w:bottom w:val="none" w:sz="0" w:space="0" w:color="auto"/>
        <w:right w:val="none" w:sz="0" w:space="0" w:color="auto"/>
      </w:divBdr>
    </w:div>
    <w:div w:id="772432580">
      <w:bodyDiv w:val="1"/>
      <w:marLeft w:val="0"/>
      <w:marRight w:val="0"/>
      <w:marTop w:val="0"/>
      <w:marBottom w:val="0"/>
      <w:divBdr>
        <w:top w:val="none" w:sz="0" w:space="0" w:color="auto"/>
        <w:left w:val="none" w:sz="0" w:space="0" w:color="auto"/>
        <w:bottom w:val="none" w:sz="0" w:space="0" w:color="auto"/>
        <w:right w:val="none" w:sz="0" w:space="0" w:color="auto"/>
      </w:divBdr>
    </w:div>
    <w:div w:id="899092514">
      <w:bodyDiv w:val="1"/>
      <w:marLeft w:val="0"/>
      <w:marRight w:val="0"/>
      <w:marTop w:val="0"/>
      <w:marBottom w:val="0"/>
      <w:divBdr>
        <w:top w:val="none" w:sz="0" w:space="0" w:color="auto"/>
        <w:left w:val="none" w:sz="0" w:space="0" w:color="auto"/>
        <w:bottom w:val="none" w:sz="0" w:space="0" w:color="auto"/>
        <w:right w:val="none" w:sz="0" w:space="0" w:color="auto"/>
      </w:divBdr>
    </w:div>
    <w:div w:id="982848413">
      <w:bodyDiv w:val="1"/>
      <w:marLeft w:val="0"/>
      <w:marRight w:val="0"/>
      <w:marTop w:val="0"/>
      <w:marBottom w:val="0"/>
      <w:divBdr>
        <w:top w:val="none" w:sz="0" w:space="0" w:color="auto"/>
        <w:left w:val="none" w:sz="0" w:space="0" w:color="auto"/>
        <w:bottom w:val="none" w:sz="0" w:space="0" w:color="auto"/>
        <w:right w:val="none" w:sz="0" w:space="0" w:color="auto"/>
      </w:divBdr>
    </w:div>
    <w:div w:id="1008480081">
      <w:bodyDiv w:val="1"/>
      <w:marLeft w:val="0"/>
      <w:marRight w:val="0"/>
      <w:marTop w:val="0"/>
      <w:marBottom w:val="0"/>
      <w:divBdr>
        <w:top w:val="none" w:sz="0" w:space="0" w:color="auto"/>
        <w:left w:val="none" w:sz="0" w:space="0" w:color="auto"/>
        <w:bottom w:val="none" w:sz="0" w:space="0" w:color="auto"/>
        <w:right w:val="none" w:sz="0" w:space="0" w:color="auto"/>
      </w:divBdr>
    </w:div>
    <w:div w:id="1108160263">
      <w:bodyDiv w:val="1"/>
      <w:marLeft w:val="0"/>
      <w:marRight w:val="0"/>
      <w:marTop w:val="0"/>
      <w:marBottom w:val="0"/>
      <w:divBdr>
        <w:top w:val="none" w:sz="0" w:space="0" w:color="auto"/>
        <w:left w:val="none" w:sz="0" w:space="0" w:color="auto"/>
        <w:bottom w:val="none" w:sz="0" w:space="0" w:color="auto"/>
        <w:right w:val="none" w:sz="0" w:space="0" w:color="auto"/>
      </w:divBdr>
      <w:divsChild>
        <w:div w:id="129518829">
          <w:marLeft w:val="0"/>
          <w:marRight w:val="0"/>
          <w:marTop w:val="0"/>
          <w:marBottom w:val="0"/>
          <w:divBdr>
            <w:top w:val="none" w:sz="0" w:space="0" w:color="auto"/>
            <w:left w:val="none" w:sz="0" w:space="0" w:color="auto"/>
            <w:bottom w:val="none" w:sz="0" w:space="0" w:color="auto"/>
            <w:right w:val="none" w:sz="0" w:space="0" w:color="auto"/>
          </w:divBdr>
          <w:divsChild>
            <w:div w:id="511453073">
              <w:marLeft w:val="0"/>
              <w:marRight w:val="0"/>
              <w:marTop w:val="0"/>
              <w:marBottom w:val="0"/>
              <w:divBdr>
                <w:top w:val="none" w:sz="0" w:space="0" w:color="auto"/>
                <w:left w:val="none" w:sz="0" w:space="0" w:color="auto"/>
                <w:bottom w:val="none" w:sz="0" w:space="0" w:color="auto"/>
                <w:right w:val="none" w:sz="0" w:space="0" w:color="auto"/>
              </w:divBdr>
              <w:divsChild>
                <w:div w:id="34887880">
                  <w:marLeft w:val="0"/>
                  <w:marRight w:val="0"/>
                  <w:marTop w:val="0"/>
                  <w:marBottom w:val="0"/>
                  <w:divBdr>
                    <w:top w:val="none" w:sz="0" w:space="0" w:color="auto"/>
                    <w:left w:val="none" w:sz="0" w:space="0" w:color="auto"/>
                    <w:bottom w:val="none" w:sz="0" w:space="0" w:color="auto"/>
                    <w:right w:val="none" w:sz="0" w:space="0" w:color="auto"/>
                  </w:divBdr>
                  <w:divsChild>
                    <w:div w:id="1470398460">
                      <w:marLeft w:val="0"/>
                      <w:marRight w:val="0"/>
                      <w:marTop w:val="0"/>
                      <w:marBottom w:val="0"/>
                      <w:divBdr>
                        <w:top w:val="none" w:sz="0" w:space="0" w:color="auto"/>
                        <w:left w:val="none" w:sz="0" w:space="0" w:color="auto"/>
                        <w:bottom w:val="none" w:sz="0" w:space="0" w:color="auto"/>
                        <w:right w:val="none" w:sz="0" w:space="0" w:color="auto"/>
                      </w:divBdr>
                      <w:divsChild>
                        <w:div w:id="922687382">
                          <w:marLeft w:val="0"/>
                          <w:marRight w:val="0"/>
                          <w:marTop w:val="0"/>
                          <w:marBottom w:val="0"/>
                          <w:divBdr>
                            <w:top w:val="none" w:sz="0" w:space="0" w:color="auto"/>
                            <w:left w:val="none" w:sz="0" w:space="0" w:color="auto"/>
                            <w:bottom w:val="none" w:sz="0" w:space="0" w:color="auto"/>
                            <w:right w:val="none" w:sz="0" w:space="0" w:color="auto"/>
                          </w:divBdr>
                          <w:divsChild>
                            <w:div w:id="601568174">
                              <w:marLeft w:val="0"/>
                              <w:marRight w:val="0"/>
                              <w:marTop w:val="0"/>
                              <w:marBottom w:val="0"/>
                              <w:divBdr>
                                <w:top w:val="none" w:sz="0" w:space="0" w:color="auto"/>
                                <w:left w:val="none" w:sz="0" w:space="0" w:color="auto"/>
                                <w:bottom w:val="none" w:sz="0" w:space="0" w:color="auto"/>
                                <w:right w:val="none" w:sz="0" w:space="0" w:color="auto"/>
                              </w:divBdr>
                              <w:divsChild>
                                <w:div w:id="4837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167920">
      <w:bodyDiv w:val="1"/>
      <w:marLeft w:val="0"/>
      <w:marRight w:val="0"/>
      <w:marTop w:val="0"/>
      <w:marBottom w:val="0"/>
      <w:divBdr>
        <w:top w:val="none" w:sz="0" w:space="0" w:color="auto"/>
        <w:left w:val="none" w:sz="0" w:space="0" w:color="auto"/>
        <w:bottom w:val="none" w:sz="0" w:space="0" w:color="auto"/>
        <w:right w:val="none" w:sz="0" w:space="0" w:color="auto"/>
      </w:divBdr>
    </w:div>
    <w:div w:id="1513453537">
      <w:bodyDiv w:val="1"/>
      <w:marLeft w:val="0"/>
      <w:marRight w:val="0"/>
      <w:marTop w:val="0"/>
      <w:marBottom w:val="0"/>
      <w:divBdr>
        <w:top w:val="none" w:sz="0" w:space="0" w:color="auto"/>
        <w:left w:val="none" w:sz="0" w:space="0" w:color="auto"/>
        <w:bottom w:val="none" w:sz="0" w:space="0" w:color="auto"/>
        <w:right w:val="none" w:sz="0" w:space="0" w:color="auto"/>
      </w:divBdr>
      <w:divsChild>
        <w:div w:id="516771648">
          <w:marLeft w:val="0"/>
          <w:marRight w:val="0"/>
          <w:marTop w:val="0"/>
          <w:marBottom w:val="0"/>
          <w:divBdr>
            <w:top w:val="none" w:sz="0" w:space="0" w:color="auto"/>
            <w:left w:val="none" w:sz="0" w:space="0" w:color="auto"/>
            <w:bottom w:val="none" w:sz="0" w:space="0" w:color="auto"/>
            <w:right w:val="none" w:sz="0" w:space="0" w:color="auto"/>
          </w:divBdr>
          <w:divsChild>
            <w:div w:id="1980719832">
              <w:marLeft w:val="0"/>
              <w:marRight w:val="0"/>
              <w:marTop w:val="0"/>
              <w:marBottom w:val="0"/>
              <w:divBdr>
                <w:top w:val="none" w:sz="0" w:space="0" w:color="auto"/>
                <w:left w:val="none" w:sz="0" w:space="0" w:color="auto"/>
                <w:bottom w:val="none" w:sz="0" w:space="0" w:color="auto"/>
                <w:right w:val="none" w:sz="0" w:space="0" w:color="auto"/>
              </w:divBdr>
              <w:divsChild>
                <w:div w:id="1459760057">
                  <w:marLeft w:val="0"/>
                  <w:marRight w:val="0"/>
                  <w:marTop w:val="0"/>
                  <w:marBottom w:val="0"/>
                  <w:divBdr>
                    <w:top w:val="none" w:sz="0" w:space="0" w:color="auto"/>
                    <w:left w:val="none" w:sz="0" w:space="0" w:color="auto"/>
                    <w:bottom w:val="none" w:sz="0" w:space="0" w:color="auto"/>
                    <w:right w:val="none" w:sz="0" w:space="0" w:color="auto"/>
                  </w:divBdr>
                  <w:divsChild>
                    <w:div w:id="331033315">
                      <w:marLeft w:val="0"/>
                      <w:marRight w:val="0"/>
                      <w:marTop w:val="0"/>
                      <w:marBottom w:val="0"/>
                      <w:divBdr>
                        <w:top w:val="none" w:sz="0" w:space="0" w:color="auto"/>
                        <w:left w:val="none" w:sz="0" w:space="0" w:color="auto"/>
                        <w:bottom w:val="none" w:sz="0" w:space="0" w:color="auto"/>
                        <w:right w:val="none" w:sz="0" w:space="0" w:color="auto"/>
                      </w:divBdr>
                      <w:divsChild>
                        <w:div w:id="718818990">
                          <w:marLeft w:val="0"/>
                          <w:marRight w:val="0"/>
                          <w:marTop w:val="0"/>
                          <w:marBottom w:val="0"/>
                          <w:divBdr>
                            <w:top w:val="none" w:sz="0" w:space="0" w:color="auto"/>
                            <w:left w:val="none" w:sz="0" w:space="0" w:color="auto"/>
                            <w:bottom w:val="none" w:sz="0" w:space="0" w:color="auto"/>
                            <w:right w:val="none" w:sz="0" w:space="0" w:color="auto"/>
                          </w:divBdr>
                          <w:divsChild>
                            <w:div w:id="988827855">
                              <w:marLeft w:val="0"/>
                              <w:marRight w:val="0"/>
                              <w:marTop w:val="0"/>
                              <w:marBottom w:val="0"/>
                              <w:divBdr>
                                <w:top w:val="none" w:sz="0" w:space="0" w:color="auto"/>
                                <w:left w:val="none" w:sz="0" w:space="0" w:color="auto"/>
                                <w:bottom w:val="none" w:sz="0" w:space="0" w:color="auto"/>
                                <w:right w:val="none" w:sz="0" w:space="0" w:color="auto"/>
                              </w:divBdr>
                              <w:divsChild>
                                <w:div w:id="4567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0595">
      <w:bodyDiv w:val="1"/>
      <w:marLeft w:val="0"/>
      <w:marRight w:val="0"/>
      <w:marTop w:val="0"/>
      <w:marBottom w:val="0"/>
      <w:divBdr>
        <w:top w:val="none" w:sz="0" w:space="0" w:color="auto"/>
        <w:left w:val="none" w:sz="0" w:space="0" w:color="auto"/>
        <w:bottom w:val="none" w:sz="0" w:space="0" w:color="auto"/>
        <w:right w:val="none" w:sz="0" w:space="0" w:color="auto"/>
      </w:divBdr>
    </w:div>
    <w:div w:id="1847399459">
      <w:bodyDiv w:val="1"/>
      <w:marLeft w:val="0"/>
      <w:marRight w:val="0"/>
      <w:marTop w:val="0"/>
      <w:marBottom w:val="0"/>
      <w:divBdr>
        <w:top w:val="none" w:sz="0" w:space="0" w:color="auto"/>
        <w:left w:val="none" w:sz="0" w:space="0" w:color="auto"/>
        <w:bottom w:val="none" w:sz="0" w:space="0" w:color="auto"/>
        <w:right w:val="none" w:sz="0" w:space="0" w:color="auto"/>
      </w:divBdr>
    </w:div>
    <w:div w:id="1920554695">
      <w:bodyDiv w:val="1"/>
      <w:marLeft w:val="0"/>
      <w:marRight w:val="0"/>
      <w:marTop w:val="0"/>
      <w:marBottom w:val="0"/>
      <w:divBdr>
        <w:top w:val="none" w:sz="0" w:space="0" w:color="auto"/>
        <w:left w:val="none" w:sz="0" w:space="0" w:color="auto"/>
        <w:bottom w:val="none" w:sz="0" w:space="0" w:color="auto"/>
        <w:right w:val="none" w:sz="0" w:space="0" w:color="auto"/>
      </w:divBdr>
    </w:div>
    <w:div w:id="21300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cat.dppnet/firstRMS/fullRecord.jsp?recnoListAttr=recnoList&amp;recno=275478" TargetMode="External"/><Relationship Id="rId13" Type="http://schemas.openxmlformats.org/officeDocument/2006/relationships/hyperlink" Target="http://libcat.dppnet/firstRMS/fullRecord.jsp?recnoListAttr=recnoList&amp;recno=2486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ncies.cdpp.gov.au/sites/default/files/NLD-Prosecution-Services-Partner-Agencies-January-21_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cat.dppnet/firstRMS/fullRecord.jsp?recno=272982" TargetMode="External"/><Relationship Id="rId5" Type="http://schemas.openxmlformats.org/officeDocument/2006/relationships/webSettings" Target="webSettings.xml"/><Relationship Id="rId15" Type="http://schemas.openxmlformats.org/officeDocument/2006/relationships/hyperlink" Target="http://libcat.dppnet/firstRMS/fullRecord.jsp?recnoListAttr=recnoList&amp;recno=275478" TargetMode="External"/><Relationship Id="rId10" Type="http://schemas.openxmlformats.org/officeDocument/2006/relationships/hyperlink" Target="http://libcat.dppnet/firstRMS/fullRecord.jsp?recno=145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uments.dppnet/library/Terrorism/Qualified-Advice-Evidence-Guidelines.pdf" TargetMode="External"/><Relationship Id="rId14" Type="http://schemas.openxmlformats.org/officeDocument/2006/relationships/hyperlink" Target="http://libcat.dppnet/firstRMS/fullRecord.jsp?recnoListAttr=recnoList&amp;recno=2729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35BA-851C-4723-9C3E-E385631B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Baxter</dc:creator>
  <cp:keywords/>
  <dc:description/>
  <cp:lastModifiedBy>Peters Jones Ben</cp:lastModifiedBy>
  <cp:revision>5</cp:revision>
  <cp:lastPrinted>2021-04-15T02:33:00Z</cp:lastPrinted>
  <dcterms:created xsi:type="dcterms:W3CDTF">2021-05-21T03:36:00Z</dcterms:created>
  <dcterms:modified xsi:type="dcterms:W3CDTF">2021-05-28T02:26:00Z</dcterms:modified>
</cp:coreProperties>
</file>