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2FDE" w14:textId="77777777" w:rsidR="00FA771C" w:rsidRDefault="00FA771C">
      <w:bookmarkStart w:id="0" w:name="_GoBack"/>
      <w:bookmarkEnd w:id="0"/>
    </w:p>
    <w:p w14:paraId="7EF8FBFC" w14:textId="77777777" w:rsidR="007C2B63" w:rsidRDefault="007C2B63"/>
    <w:p w14:paraId="30E7F66C" w14:textId="77777777" w:rsidR="007C2B63" w:rsidRDefault="007C2B63" w:rsidP="007C2B63">
      <w:pPr>
        <w:rPr>
          <w:b/>
          <w:color w:val="F26524"/>
        </w:rPr>
      </w:pPr>
    </w:p>
    <w:p w14:paraId="4DE55B16" w14:textId="77777777" w:rsidR="007C2B63" w:rsidRPr="00354997" w:rsidRDefault="00F651B7" w:rsidP="007C2B63">
      <w:pPr>
        <w:jc w:val="right"/>
        <w:rPr>
          <w:b/>
          <w:color w:val="00B2DD"/>
          <w:sz w:val="24"/>
          <w:szCs w:val="24"/>
        </w:rPr>
      </w:pPr>
      <w:r>
        <w:rPr>
          <w:b/>
          <w:color w:val="00B2DD"/>
          <w:sz w:val="24"/>
          <w:szCs w:val="24"/>
        </w:rPr>
        <w:t>Recovery of expenses of investigation – section 91 ASIC Act 2001</w:t>
      </w:r>
    </w:p>
    <w:p w14:paraId="72E42A43" w14:textId="33E5EF5D" w:rsidR="007C2B63" w:rsidRPr="0094103E" w:rsidRDefault="002622CC" w:rsidP="007C2B63">
      <w:pPr>
        <w:jc w:val="right"/>
        <w:rPr>
          <w:color w:val="00B2DD"/>
        </w:rPr>
      </w:pPr>
      <w:r w:rsidRPr="0094103E">
        <w:rPr>
          <w:noProof/>
          <w:lang w:val="en-AU" w:eastAsia="en-AU"/>
        </w:rPr>
        <mc:AlternateContent>
          <mc:Choice Requires="wps">
            <w:drawing>
              <wp:anchor distT="0" distB="0" distL="114300" distR="114300" simplePos="0" relativeHeight="251659264" behindDoc="0" locked="0" layoutInCell="1" allowOverlap="1" wp14:anchorId="26898700" wp14:editId="050CD628">
                <wp:simplePos x="0" y="0"/>
                <wp:positionH relativeFrom="column">
                  <wp:posOffset>2743200</wp:posOffset>
                </wp:positionH>
                <wp:positionV relativeFrom="page">
                  <wp:posOffset>203200</wp:posOffset>
                </wp:positionV>
                <wp:extent cx="3200400" cy="104648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00400" cy="104648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062E30" w14:textId="77777777" w:rsidR="009B0C96" w:rsidRDefault="009B0C96" w:rsidP="002622CC">
                            <w:pPr>
                              <w:pStyle w:val="FSTitle"/>
                              <w:rPr>
                                <w:color w:val="FFFFFF" w:themeColor="background1"/>
                              </w:rPr>
                            </w:pPr>
                            <w:r w:rsidRPr="006F0ACC">
                              <w:rPr>
                                <w:color w:val="FFFFFF" w:themeColor="background1"/>
                              </w:rPr>
                              <w:t>Practice Group Instruction</w:t>
                            </w:r>
                            <w:r>
                              <w:rPr>
                                <w:color w:val="FFFFFF" w:themeColor="background1"/>
                              </w:rPr>
                              <w:t>s</w:t>
                            </w:r>
                          </w:p>
                          <w:p w14:paraId="3026B357" w14:textId="77777777" w:rsidR="009B0C96" w:rsidRDefault="009B0C96" w:rsidP="002622CC">
                            <w:pPr>
                              <w:pStyle w:val="FSTitle"/>
                              <w:rPr>
                                <w:color w:val="FFFFFF" w:themeColor="background1"/>
                              </w:rPr>
                            </w:pPr>
                            <w:r>
                              <w:rPr>
                                <w:color w:val="FFFFFF" w:themeColor="background1"/>
                              </w:rPr>
                              <w:t>Commercial, Financial and Corruption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98700" id="_x0000_t202" coordsize="21600,21600" o:spt="202" path="m,l,21600r21600,l21600,xe">
                <v:stroke joinstyle="miter"/>
                <v:path gradientshapeok="t" o:connecttype="rect"/>
              </v:shapetype>
              <v:shape id="Text Box 1" o:spid="_x0000_s1026" type="#_x0000_t202" style="position:absolute;left:0;text-align:left;margin-left:3in;margin-top:16pt;width:252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" filled="f" stroked="f">
                <v:textbox>
                  <w:txbxContent>
                    <w:p w14:paraId="48062E30" w14:textId="77777777" w:rsidR="009B0C96" w:rsidRDefault="009B0C96" w:rsidP="002622CC">
                      <w:pPr>
                        <w:pStyle w:val="FSTitle"/>
                        <w:rPr>
                          <w:color w:val="FFFFFF" w:themeColor="background1"/>
                        </w:rPr>
                      </w:pPr>
                      <w:r w:rsidRPr="006F0ACC">
                        <w:rPr>
                          <w:color w:val="FFFFFF" w:themeColor="background1"/>
                        </w:rPr>
                        <w:t>Practice Group Instruction</w:t>
                      </w:r>
                      <w:r>
                        <w:rPr>
                          <w:color w:val="FFFFFF" w:themeColor="background1"/>
                        </w:rPr>
                        <w:t>s</w:t>
                      </w:r>
                    </w:p>
                    <w:p w14:paraId="3026B357" w14:textId="77777777" w:rsidR="009B0C96" w:rsidRDefault="009B0C96" w:rsidP="002622CC">
                      <w:pPr>
                        <w:pStyle w:val="FSTitle"/>
                        <w:rPr>
                          <w:color w:val="FFFFFF" w:themeColor="background1"/>
                        </w:rPr>
                      </w:pPr>
                      <w:r>
                        <w:rPr>
                          <w:color w:val="FFFFFF" w:themeColor="background1"/>
                        </w:rPr>
                        <w:t>Commercial, Financial and Corruption</w:t>
                      </w:r>
                    </w:p>
                  </w:txbxContent>
                </v:textbox>
                <w10:wrap anchory="page"/>
              </v:shape>
            </w:pict>
          </mc:Fallback>
        </mc:AlternateContent>
      </w:r>
      <w:r w:rsidR="0094103E" w:rsidRPr="0094103E">
        <w:rPr>
          <w:color w:val="00B2DD"/>
        </w:rPr>
        <w:t xml:space="preserve">Instruction Number: </w:t>
      </w:r>
      <w:r w:rsidR="00F651B7">
        <w:rPr>
          <w:color w:val="00B2DD"/>
        </w:rPr>
        <w:t>8</w:t>
      </w:r>
      <w:r w:rsidR="0094103E" w:rsidRPr="0094103E">
        <w:rPr>
          <w:color w:val="00B2DD"/>
        </w:rPr>
        <w:br/>
      </w:r>
      <w:r w:rsidR="00F651B7">
        <w:rPr>
          <w:color w:val="00B2DD"/>
        </w:rPr>
        <w:t>Issued</w:t>
      </w:r>
      <w:r w:rsidR="0094103E" w:rsidRPr="0094103E">
        <w:rPr>
          <w:color w:val="00B2DD"/>
        </w:rPr>
        <w:t xml:space="preserve">: </w:t>
      </w:r>
      <w:r w:rsidR="00476E9C" w:rsidRPr="00476E9C">
        <w:rPr>
          <w:color w:val="00B2DD"/>
        </w:rPr>
        <w:t>20</w:t>
      </w:r>
      <w:r w:rsidR="00380C51" w:rsidRPr="00476E9C">
        <w:rPr>
          <w:color w:val="00B2DD"/>
        </w:rPr>
        <w:t xml:space="preserve"> </w:t>
      </w:r>
      <w:r w:rsidR="00B67C02" w:rsidRPr="00476E9C">
        <w:rPr>
          <w:color w:val="00B2DD"/>
        </w:rPr>
        <w:t xml:space="preserve">July </w:t>
      </w:r>
      <w:r w:rsidR="00F651B7" w:rsidRPr="00476E9C">
        <w:rPr>
          <w:color w:val="00B2DD"/>
        </w:rPr>
        <w:t>2020</w:t>
      </w:r>
    </w:p>
    <w:p w14:paraId="36365349" w14:textId="77777777" w:rsidR="007C2B63" w:rsidRDefault="007C2B63" w:rsidP="007C2B63">
      <w:pPr>
        <w:jc w:val="right"/>
        <w:rPr>
          <w:color w:val="F26524"/>
        </w:rPr>
      </w:pPr>
    </w:p>
    <w:p w14:paraId="5D25F69A" w14:textId="77777777" w:rsidR="000F454B" w:rsidRDefault="000F454B" w:rsidP="00380C51">
      <w:pPr>
        <w:spacing w:before="240"/>
        <w:rPr>
          <w:rFonts w:cstheme="majorHAnsi"/>
          <w:b/>
          <w:u w:val="single"/>
        </w:rPr>
      </w:pPr>
      <w:r>
        <w:rPr>
          <w:rFonts w:cstheme="majorHAnsi"/>
          <w:b/>
          <w:u w:val="single"/>
        </w:rPr>
        <w:t>Introduction</w:t>
      </w:r>
    </w:p>
    <w:p w14:paraId="14725F0B" w14:textId="77777777" w:rsidR="000F454B" w:rsidRPr="000F454B" w:rsidRDefault="000F454B" w:rsidP="000F454B">
      <w:pPr>
        <w:pStyle w:val="ListParagraph"/>
        <w:numPr>
          <w:ilvl w:val="0"/>
          <w:numId w:val="8"/>
        </w:numPr>
        <w:jc w:val="both"/>
        <w:rPr>
          <w:rFonts w:asciiTheme="majorHAnsi" w:hAnsiTheme="majorHAnsi" w:cstheme="majorHAnsi"/>
        </w:rPr>
      </w:pPr>
      <w:r>
        <w:rPr>
          <w:rFonts w:asciiTheme="majorHAnsi" w:hAnsiTheme="majorHAnsi" w:cstheme="majorHAnsi"/>
        </w:rPr>
        <w:t>Under</w:t>
      </w:r>
      <w:r w:rsidRPr="000F454B">
        <w:rPr>
          <w:rFonts w:asciiTheme="majorHAnsi" w:hAnsiTheme="majorHAnsi" w:cstheme="majorHAnsi"/>
        </w:rPr>
        <w:t xml:space="preserve"> section 91 of the </w:t>
      </w:r>
      <w:r w:rsidRPr="00553B79">
        <w:rPr>
          <w:rFonts w:asciiTheme="majorHAnsi" w:hAnsiTheme="majorHAnsi" w:cstheme="majorHAnsi"/>
          <w:i/>
        </w:rPr>
        <w:t>Australian Securities and Investments Commission Act 2001</w:t>
      </w:r>
      <w:r>
        <w:rPr>
          <w:rFonts w:asciiTheme="majorHAnsi" w:hAnsiTheme="majorHAnsi" w:cstheme="majorHAnsi"/>
        </w:rPr>
        <w:t xml:space="preserve"> (“the Act”)</w:t>
      </w:r>
      <w:r w:rsidRPr="000F454B">
        <w:rPr>
          <w:rFonts w:asciiTheme="majorHAnsi" w:hAnsiTheme="majorHAnsi" w:cstheme="majorHAnsi"/>
        </w:rPr>
        <w:t xml:space="preserve">, </w:t>
      </w:r>
      <w:r>
        <w:rPr>
          <w:rFonts w:asciiTheme="majorHAnsi" w:hAnsiTheme="majorHAnsi" w:cstheme="majorHAnsi"/>
        </w:rPr>
        <w:t xml:space="preserve">the </w:t>
      </w:r>
      <w:r w:rsidRPr="000F454B">
        <w:rPr>
          <w:rFonts w:asciiTheme="majorHAnsi" w:hAnsiTheme="majorHAnsi" w:cstheme="majorHAnsi"/>
        </w:rPr>
        <w:t xml:space="preserve">Australian Securities and Investments Commission </w:t>
      </w:r>
      <w:r>
        <w:rPr>
          <w:rFonts w:asciiTheme="majorHAnsi" w:hAnsiTheme="majorHAnsi" w:cstheme="majorHAnsi"/>
        </w:rPr>
        <w:t>(“ASIC”)</w:t>
      </w:r>
      <w:r w:rsidRPr="000F454B">
        <w:rPr>
          <w:rFonts w:asciiTheme="majorHAnsi" w:hAnsiTheme="majorHAnsi" w:cstheme="majorHAnsi"/>
        </w:rPr>
        <w:t xml:space="preserve"> may make an order to recover </w:t>
      </w:r>
      <w:r>
        <w:rPr>
          <w:rFonts w:asciiTheme="majorHAnsi" w:hAnsiTheme="majorHAnsi" w:cstheme="majorHAnsi"/>
        </w:rPr>
        <w:t>its</w:t>
      </w:r>
      <w:r w:rsidRPr="000F454B">
        <w:rPr>
          <w:rFonts w:asciiTheme="majorHAnsi" w:hAnsiTheme="majorHAnsi" w:cstheme="majorHAnsi"/>
        </w:rPr>
        <w:t xml:space="preserve"> investigation expenses and costs</w:t>
      </w:r>
      <w:r w:rsidR="00901B50">
        <w:rPr>
          <w:rStyle w:val="FootnoteReference"/>
          <w:rFonts w:asciiTheme="majorHAnsi" w:hAnsiTheme="majorHAnsi" w:cstheme="majorHAnsi"/>
        </w:rPr>
        <w:footnoteReference w:id="1"/>
      </w:r>
      <w:r w:rsidRPr="000F454B">
        <w:rPr>
          <w:rFonts w:asciiTheme="majorHAnsi" w:hAnsiTheme="majorHAnsi" w:cstheme="majorHAnsi"/>
        </w:rPr>
        <w:t xml:space="preserve"> if, as a result of </w:t>
      </w:r>
      <w:r>
        <w:rPr>
          <w:rFonts w:asciiTheme="majorHAnsi" w:hAnsiTheme="majorHAnsi" w:cstheme="majorHAnsi"/>
        </w:rPr>
        <w:t>its</w:t>
      </w:r>
      <w:r w:rsidRPr="000F454B">
        <w:rPr>
          <w:rFonts w:asciiTheme="majorHAnsi" w:hAnsiTheme="majorHAnsi" w:cstheme="majorHAnsi"/>
        </w:rPr>
        <w:t xml:space="preserve"> investigation:</w:t>
      </w:r>
    </w:p>
    <w:p w14:paraId="02B4EE75" w14:textId="137ECA8E" w:rsidR="000F454B" w:rsidRPr="000F454B" w:rsidRDefault="000F454B" w:rsidP="000F454B">
      <w:pPr>
        <w:pStyle w:val="ListParagraph"/>
        <w:numPr>
          <w:ilvl w:val="0"/>
          <w:numId w:val="10"/>
        </w:numPr>
        <w:jc w:val="both"/>
        <w:rPr>
          <w:rFonts w:asciiTheme="majorHAnsi" w:hAnsiTheme="majorHAnsi" w:cstheme="majorHAnsi"/>
        </w:rPr>
      </w:pPr>
      <w:r w:rsidRPr="000F454B">
        <w:rPr>
          <w:rFonts w:asciiTheme="majorHAnsi" w:hAnsiTheme="majorHAnsi" w:cstheme="majorHAnsi"/>
        </w:rPr>
        <w:t>a person is convicted of an offence</w:t>
      </w:r>
      <w:r w:rsidR="00B060E4">
        <w:rPr>
          <w:rFonts w:asciiTheme="majorHAnsi" w:hAnsiTheme="majorHAnsi" w:cstheme="majorHAnsi"/>
        </w:rPr>
        <w:t xml:space="preserve"> against a law of the Commonwealth, or of a State or Territory</w:t>
      </w:r>
      <w:r w:rsidRPr="000F454B">
        <w:rPr>
          <w:rFonts w:asciiTheme="majorHAnsi" w:hAnsiTheme="majorHAnsi" w:cstheme="majorHAnsi"/>
        </w:rPr>
        <w:t>, or</w:t>
      </w:r>
    </w:p>
    <w:p w14:paraId="722CC097" w14:textId="77777777" w:rsidR="000F454B" w:rsidRDefault="000F454B" w:rsidP="000F454B">
      <w:pPr>
        <w:pStyle w:val="ListParagraph"/>
        <w:numPr>
          <w:ilvl w:val="0"/>
          <w:numId w:val="10"/>
        </w:numPr>
        <w:jc w:val="both"/>
        <w:rPr>
          <w:rFonts w:asciiTheme="majorHAnsi" w:hAnsiTheme="majorHAnsi" w:cstheme="majorHAnsi"/>
        </w:rPr>
      </w:pPr>
      <w:r w:rsidRPr="000F454B">
        <w:rPr>
          <w:rFonts w:asciiTheme="majorHAnsi" w:hAnsiTheme="majorHAnsi" w:cstheme="majorHAnsi"/>
        </w:rPr>
        <w:t>judgment is awarded, or a declaration or other order is made against a person in a proceeding in a court.</w:t>
      </w:r>
    </w:p>
    <w:p w14:paraId="39E542A4" w14:textId="77777777" w:rsidR="00553B79" w:rsidRPr="00553B79" w:rsidRDefault="00553B79" w:rsidP="00553B79">
      <w:pPr>
        <w:jc w:val="both"/>
        <w:rPr>
          <w:rFonts w:cstheme="majorHAnsi"/>
        </w:rPr>
      </w:pPr>
    </w:p>
    <w:p w14:paraId="2B3A59A2" w14:textId="77777777" w:rsidR="000F454B" w:rsidRPr="000F454B" w:rsidRDefault="000F454B" w:rsidP="000F454B">
      <w:pPr>
        <w:pStyle w:val="ListParagraph"/>
        <w:numPr>
          <w:ilvl w:val="0"/>
          <w:numId w:val="8"/>
        </w:numPr>
        <w:jc w:val="both"/>
        <w:rPr>
          <w:rFonts w:asciiTheme="majorHAnsi" w:hAnsiTheme="majorHAnsi" w:cstheme="majorHAnsi"/>
        </w:rPr>
      </w:pPr>
      <w:r>
        <w:rPr>
          <w:rFonts w:asciiTheme="majorHAnsi" w:hAnsiTheme="majorHAnsi" w:cstheme="majorHAnsi"/>
        </w:rPr>
        <w:t>ASIC</w:t>
      </w:r>
      <w:r w:rsidRPr="000F454B">
        <w:rPr>
          <w:rFonts w:asciiTheme="majorHAnsi" w:hAnsiTheme="majorHAnsi" w:cstheme="majorHAnsi"/>
        </w:rPr>
        <w:t xml:space="preserve"> may make an order that the person pay, or reimburse ASIC:</w:t>
      </w:r>
    </w:p>
    <w:p w14:paraId="788D5D56" w14:textId="77777777" w:rsidR="000F454B" w:rsidRPr="000F454B" w:rsidRDefault="000F454B" w:rsidP="000F454B">
      <w:pPr>
        <w:pStyle w:val="ListParagraph"/>
        <w:numPr>
          <w:ilvl w:val="0"/>
          <w:numId w:val="11"/>
        </w:numPr>
        <w:jc w:val="both"/>
        <w:rPr>
          <w:rFonts w:asciiTheme="majorHAnsi" w:hAnsiTheme="majorHAnsi" w:cstheme="majorHAnsi"/>
        </w:rPr>
      </w:pPr>
      <w:r w:rsidRPr="000F454B">
        <w:rPr>
          <w:rFonts w:asciiTheme="majorHAnsi" w:hAnsiTheme="majorHAnsi" w:cstheme="majorHAnsi"/>
        </w:rPr>
        <w:t>for the whole, or a specified part, of the expenses of the investigation</w:t>
      </w:r>
    </w:p>
    <w:p w14:paraId="6242A300" w14:textId="77777777" w:rsidR="000F454B" w:rsidRDefault="000F454B" w:rsidP="000F454B">
      <w:pPr>
        <w:pStyle w:val="ListParagraph"/>
        <w:numPr>
          <w:ilvl w:val="0"/>
          <w:numId w:val="11"/>
        </w:numPr>
        <w:jc w:val="both"/>
        <w:rPr>
          <w:rFonts w:asciiTheme="majorHAnsi" w:hAnsiTheme="majorHAnsi" w:cstheme="majorHAnsi"/>
        </w:rPr>
      </w:pPr>
      <w:r w:rsidRPr="000F454B">
        <w:rPr>
          <w:rFonts w:asciiTheme="majorHAnsi" w:hAnsiTheme="majorHAnsi" w:cstheme="majorHAnsi"/>
        </w:rPr>
        <w:lastRenderedPageBreak/>
        <w:t>for the whole, or a specified part, of the costs to ASIC of making the investigation, including the remuneration of ASIC staff concerned in the investigation.</w:t>
      </w:r>
    </w:p>
    <w:p w14:paraId="31743375" w14:textId="77777777" w:rsidR="00901B50" w:rsidRPr="00901B50" w:rsidRDefault="00901B50" w:rsidP="00901B50">
      <w:pPr>
        <w:jc w:val="both"/>
        <w:rPr>
          <w:rFonts w:cstheme="majorHAnsi"/>
        </w:rPr>
      </w:pPr>
    </w:p>
    <w:p w14:paraId="51E6DE07" w14:textId="27D45133" w:rsidR="000F454B" w:rsidRDefault="000F454B" w:rsidP="000F454B">
      <w:pPr>
        <w:pStyle w:val="ListParagraph"/>
        <w:numPr>
          <w:ilvl w:val="0"/>
          <w:numId w:val="8"/>
        </w:numPr>
        <w:jc w:val="both"/>
        <w:rPr>
          <w:rFonts w:asciiTheme="majorHAnsi" w:hAnsiTheme="majorHAnsi" w:cstheme="majorHAnsi"/>
        </w:rPr>
      </w:pPr>
      <w:r w:rsidRPr="000F454B">
        <w:rPr>
          <w:rFonts w:asciiTheme="majorHAnsi" w:hAnsiTheme="majorHAnsi" w:cstheme="majorHAnsi"/>
        </w:rPr>
        <w:t xml:space="preserve">ASIC has a similar power to recover the expenses and costs of </w:t>
      </w:r>
      <w:r w:rsidR="00553B79">
        <w:rPr>
          <w:rFonts w:asciiTheme="majorHAnsi" w:hAnsiTheme="majorHAnsi" w:cstheme="majorHAnsi"/>
        </w:rPr>
        <w:t>its</w:t>
      </w:r>
      <w:r w:rsidRPr="000F454B">
        <w:rPr>
          <w:rFonts w:asciiTheme="majorHAnsi" w:hAnsiTheme="majorHAnsi" w:cstheme="majorHAnsi"/>
        </w:rPr>
        <w:t xml:space="preserve"> investigations under section 319 of the </w:t>
      </w:r>
      <w:r w:rsidRPr="00553B79">
        <w:rPr>
          <w:rFonts w:asciiTheme="majorHAnsi" w:hAnsiTheme="majorHAnsi" w:cstheme="majorHAnsi"/>
          <w:i/>
        </w:rPr>
        <w:t>National Consumer Credit Protection Act 2009</w:t>
      </w:r>
      <w:r w:rsidRPr="000F454B">
        <w:rPr>
          <w:rFonts w:asciiTheme="majorHAnsi" w:hAnsiTheme="majorHAnsi" w:cstheme="majorHAnsi"/>
        </w:rPr>
        <w:t>.</w:t>
      </w:r>
    </w:p>
    <w:p w14:paraId="173BDEC8" w14:textId="77777777" w:rsidR="00476E9C" w:rsidRPr="00476E9C" w:rsidRDefault="00476E9C" w:rsidP="00476E9C">
      <w:pPr>
        <w:jc w:val="both"/>
        <w:rPr>
          <w:rFonts w:cstheme="majorHAnsi"/>
        </w:rPr>
      </w:pPr>
    </w:p>
    <w:p w14:paraId="22792295" w14:textId="031457A6" w:rsidR="009410FA" w:rsidRDefault="009410FA" w:rsidP="000F454B">
      <w:pPr>
        <w:pStyle w:val="ListParagraph"/>
        <w:numPr>
          <w:ilvl w:val="0"/>
          <w:numId w:val="8"/>
        </w:numPr>
        <w:jc w:val="both"/>
        <w:rPr>
          <w:rFonts w:asciiTheme="majorHAnsi" w:hAnsiTheme="majorHAnsi" w:cstheme="majorHAnsi"/>
        </w:rPr>
      </w:pPr>
      <w:r>
        <w:rPr>
          <w:rFonts w:asciiTheme="majorHAnsi" w:hAnsiTheme="majorHAnsi" w:cstheme="majorHAnsi"/>
        </w:rPr>
        <w:t>It should be noted that s 91 orders do not involve the making of any formal orders by a court but are based on ASIC exercising its legislative powers</w:t>
      </w:r>
      <w:r w:rsidR="00B060E4">
        <w:rPr>
          <w:rFonts w:asciiTheme="majorHAnsi" w:hAnsiTheme="majorHAnsi" w:cstheme="majorHAnsi"/>
        </w:rPr>
        <w:t xml:space="preserve">, albeit such a decision by ASIC can be the subject of an application for review to the Federal Court of Australia under the </w:t>
      </w:r>
      <w:r w:rsidR="00B060E4" w:rsidRPr="00476E9C">
        <w:rPr>
          <w:rFonts w:asciiTheme="majorHAnsi" w:hAnsiTheme="majorHAnsi" w:cstheme="majorHAnsi"/>
          <w:i/>
        </w:rPr>
        <w:t xml:space="preserve">Administrative Decisions (Judicial Review) Act </w:t>
      </w:r>
      <w:r w:rsidR="00B060E4">
        <w:rPr>
          <w:rFonts w:asciiTheme="majorHAnsi" w:hAnsiTheme="majorHAnsi" w:cstheme="majorHAnsi"/>
        </w:rPr>
        <w:t>1977.</w:t>
      </w:r>
    </w:p>
    <w:p w14:paraId="20E09A2C" w14:textId="77777777" w:rsidR="00901B50" w:rsidRDefault="00901B50" w:rsidP="00901B50">
      <w:pPr>
        <w:jc w:val="both"/>
        <w:rPr>
          <w:rFonts w:cstheme="majorHAnsi"/>
        </w:rPr>
      </w:pPr>
    </w:p>
    <w:p w14:paraId="6387457A" w14:textId="77777777" w:rsidR="00901B50" w:rsidRDefault="00901B50" w:rsidP="00901B50">
      <w:pPr>
        <w:spacing w:before="240"/>
        <w:rPr>
          <w:rFonts w:cstheme="majorHAnsi"/>
          <w:b/>
          <w:u w:val="single"/>
        </w:rPr>
      </w:pPr>
      <w:r>
        <w:rPr>
          <w:rFonts w:cstheme="majorHAnsi"/>
          <w:b/>
          <w:u w:val="single"/>
        </w:rPr>
        <w:t>Types of expenses and costs that can be the subject of a s 91 order</w:t>
      </w:r>
    </w:p>
    <w:p w14:paraId="57813BB3" w14:textId="77777777" w:rsidR="00553B79" w:rsidRPr="00553B79" w:rsidRDefault="00553B79" w:rsidP="00553B79">
      <w:pPr>
        <w:pStyle w:val="ListParagraph"/>
        <w:numPr>
          <w:ilvl w:val="0"/>
          <w:numId w:val="8"/>
        </w:numPr>
        <w:jc w:val="both"/>
        <w:rPr>
          <w:rFonts w:asciiTheme="majorHAnsi" w:hAnsiTheme="majorHAnsi" w:cstheme="majorHAnsi"/>
        </w:rPr>
      </w:pPr>
      <w:r w:rsidRPr="00553B79">
        <w:rPr>
          <w:rFonts w:asciiTheme="majorHAnsi" w:hAnsiTheme="majorHAnsi" w:cstheme="majorHAnsi"/>
        </w:rPr>
        <w:t>This power allows ASIC to make an order to recover investigation expenses and costs, including, for example:</w:t>
      </w:r>
    </w:p>
    <w:p w14:paraId="13DC2ED4" w14:textId="77777777" w:rsidR="00553B79" w:rsidRPr="00553B79" w:rsidRDefault="00553B79" w:rsidP="00553B79">
      <w:pPr>
        <w:pStyle w:val="ListParagraph"/>
        <w:numPr>
          <w:ilvl w:val="0"/>
          <w:numId w:val="12"/>
        </w:numPr>
        <w:jc w:val="both"/>
        <w:rPr>
          <w:rFonts w:asciiTheme="majorHAnsi" w:hAnsiTheme="majorHAnsi" w:cstheme="majorHAnsi"/>
        </w:rPr>
      </w:pPr>
      <w:r w:rsidRPr="00553B79">
        <w:rPr>
          <w:rFonts w:asciiTheme="majorHAnsi" w:hAnsiTheme="majorHAnsi" w:cstheme="majorHAnsi"/>
        </w:rPr>
        <w:t>salary costs for ASIC staff who have worked on the investigation</w:t>
      </w:r>
    </w:p>
    <w:p w14:paraId="00FD249B" w14:textId="77777777" w:rsidR="00553B79" w:rsidRPr="00553B79" w:rsidRDefault="00553B79" w:rsidP="00553B79">
      <w:pPr>
        <w:pStyle w:val="ListParagraph"/>
        <w:numPr>
          <w:ilvl w:val="0"/>
          <w:numId w:val="12"/>
        </w:numPr>
        <w:jc w:val="both"/>
        <w:rPr>
          <w:rFonts w:asciiTheme="majorHAnsi" w:hAnsiTheme="majorHAnsi" w:cstheme="majorHAnsi"/>
        </w:rPr>
      </w:pPr>
      <w:r w:rsidRPr="00553B79">
        <w:rPr>
          <w:rFonts w:asciiTheme="majorHAnsi" w:hAnsiTheme="majorHAnsi" w:cstheme="majorHAnsi"/>
        </w:rPr>
        <w:t xml:space="preserve">travel expenses when </w:t>
      </w:r>
      <w:r w:rsidR="00BA37A9">
        <w:rPr>
          <w:rFonts w:asciiTheme="majorHAnsi" w:hAnsiTheme="majorHAnsi" w:cstheme="majorHAnsi"/>
        </w:rPr>
        <w:t>ASIC</w:t>
      </w:r>
      <w:r w:rsidRPr="00553B79">
        <w:rPr>
          <w:rFonts w:asciiTheme="majorHAnsi" w:hAnsiTheme="majorHAnsi" w:cstheme="majorHAnsi"/>
        </w:rPr>
        <w:t xml:space="preserve"> have needed to interview witnesses</w:t>
      </w:r>
    </w:p>
    <w:p w14:paraId="0A71FA85" w14:textId="77777777" w:rsidR="00553B79" w:rsidRPr="00553B79" w:rsidRDefault="00553B79" w:rsidP="00553B79">
      <w:pPr>
        <w:pStyle w:val="ListParagraph"/>
        <w:numPr>
          <w:ilvl w:val="0"/>
          <w:numId w:val="12"/>
        </w:numPr>
        <w:jc w:val="both"/>
        <w:rPr>
          <w:rFonts w:asciiTheme="majorHAnsi" w:hAnsiTheme="majorHAnsi" w:cstheme="majorHAnsi"/>
        </w:rPr>
      </w:pPr>
      <w:r w:rsidRPr="00553B79">
        <w:rPr>
          <w:rFonts w:asciiTheme="majorHAnsi" w:hAnsiTheme="majorHAnsi" w:cstheme="majorHAnsi"/>
        </w:rPr>
        <w:t>the cost of external legal counsel</w:t>
      </w:r>
    </w:p>
    <w:p w14:paraId="51A47A3D" w14:textId="77777777" w:rsidR="00553B79" w:rsidRDefault="00553B79" w:rsidP="00553B79">
      <w:pPr>
        <w:pStyle w:val="ListParagraph"/>
        <w:numPr>
          <w:ilvl w:val="0"/>
          <w:numId w:val="12"/>
        </w:numPr>
        <w:jc w:val="both"/>
        <w:rPr>
          <w:rFonts w:asciiTheme="majorHAnsi" w:hAnsiTheme="majorHAnsi" w:cstheme="majorHAnsi"/>
        </w:rPr>
      </w:pPr>
      <w:r w:rsidRPr="00553B79">
        <w:rPr>
          <w:rFonts w:asciiTheme="majorHAnsi" w:hAnsiTheme="majorHAnsi" w:cstheme="majorHAnsi"/>
        </w:rPr>
        <w:t>the cost of employing an expert to perform an analysis.</w:t>
      </w:r>
    </w:p>
    <w:p w14:paraId="424624F8" w14:textId="77777777" w:rsidR="00553B79" w:rsidRDefault="00553B79" w:rsidP="00553B79">
      <w:pPr>
        <w:pStyle w:val="ListParagraph"/>
        <w:numPr>
          <w:ilvl w:val="0"/>
          <w:numId w:val="8"/>
        </w:numPr>
        <w:jc w:val="both"/>
        <w:rPr>
          <w:rFonts w:asciiTheme="majorHAnsi" w:hAnsiTheme="majorHAnsi" w:cstheme="majorHAnsi"/>
        </w:rPr>
      </w:pPr>
      <w:r w:rsidRPr="00553B79">
        <w:rPr>
          <w:rFonts w:asciiTheme="majorHAnsi" w:hAnsiTheme="majorHAnsi" w:cstheme="majorHAnsi"/>
        </w:rPr>
        <w:t>Investigation expenses and costs are not the same as litigation costs that may be awarded by a court.</w:t>
      </w:r>
    </w:p>
    <w:p w14:paraId="1805164A" w14:textId="77777777" w:rsidR="00BA37A9" w:rsidRPr="00BA37A9" w:rsidRDefault="00BA37A9" w:rsidP="00BA37A9">
      <w:pPr>
        <w:jc w:val="both"/>
        <w:rPr>
          <w:rFonts w:cstheme="majorHAnsi"/>
        </w:rPr>
      </w:pPr>
    </w:p>
    <w:p w14:paraId="1634C058" w14:textId="77777777" w:rsidR="00553B79" w:rsidRDefault="00553B79" w:rsidP="00553B79">
      <w:pPr>
        <w:pStyle w:val="ListParagraph"/>
        <w:numPr>
          <w:ilvl w:val="0"/>
          <w:numId w:val="8"/>
        </w:numPr>
        <w:jc w:val="both"/>
        <w:rPr>
          <w:rFonts w:asciiTheme="majorHAnsi" w:hAnsiTheme="majorHAnsi" w:cstheme="majorHAnsi"/>
        </w:rPr>
      </w:pPr>
      <w:r>
        <w:rPr>
          <w:rFonts w:asciiTheme="majorHAnsi" w:hAnsiTheme="majorHAnsi" w:cstheme="majorHAnsi"/>
        </w:rPr>
        <w:t>ASIC</w:t>
      </w:r>
      <w:r w:rsidR="00BA37A9">
        <w:rPr>
          <w:rFonts w:asciiTheme="majorHAnsi" w:hAnsiTheme="majorHAnsi" w:cstheme="majorHAnsi"/>
        </w:rPr>
        <w:t>’s published policy is to</w:t>
      </w:r>
      <w:r w:rsidRPr="00553B79">
        <w:rPr>
          <w:rFonts w:asciiTheme="majorHAnsi" w:hAnsiTheme="majorHAnsi" w:cstheme="majorHAnsi"/>
        </w:rPr>
        <w:t xml:space="preserve"> consider making an order for the recovery of </w:t>
      </w:r>
      <w:r>
        <w:rPr>
          <w:rFonts w:asciiTheme="majorHAnsi" w:hAnsiTheme="majorHAnsi" w:cstheme="majorHAnsi"/>
        </w:rPr>
        <w:t>its</w:t>
      </w:r>
      <w:r w:rsidRPr="00553B79">
        <w:rPr>
          <w:rFonts w:asciiTheme="majorHAnsi" w:hAnsiTheme="majorHAnsi" w:cstheme="majorHAnsi"/>
        </w:rPr>
        <w:t xml:space="preserve"> investigation expenses and costs in each case where the legislative requirements are met.</w:t>
      </w:r>
    </w:p>
    <w:p w14:paraId="655C391B" w14:textId="77777777" w:rsidR="00A4393B" w:rsidRDefault="00A4393B" w:rsidP="00BA37A9">
      <w:pPr>
        <w:jc w:val="both"/>
        <w:rPr>
          <w:rFonts w:cstheme="majorHAnsi"/>
          <w:b/>
          <w:u w:val="single"/>
        </w:rPr>
      </w:pPr>
    </w:p>
    <w:p w14:paraId="00C3B0F0" w14:textId="504AEC68" w:rsidR="00BA37A9" w:rsidRPr="00BA37A9" w:rsidRDefault="00BA37A9" w:rsidP="00BA37A9">
      <w:pPr>
        <w:jc w:val="both"/>
        <w:rPr>
          <w:rFonts w:cstheme="majorHAnsi"/>
          <w:b/>
          <w:u w:val="single"/>
        </w:rPr>
      </w:pPr>
      <w:r w:rsidRPr="00BA37A9">
        <w:rPr>
          <w:rFonts w:cstheme="majorHAnsi"/>
          <w:b/>
          <w:u w:val="single"/>
        </w:rPr>
        <w:t>Factors ASIC will consider</w:t>
      </w:r>
    </w:p>
    <w:p w14:paraId="6E6786CE" w14:textId="77777777" w:rsidR="00553B79" w:rsidRDefault="00553B79" w:rsidP="00553B79">
      <w:pPr>
        <w:pStyle w:val="ListParagraph"/>
        <w:numPr>
          <w:ilvl w:val="0"/>
          <w:numId w:val="8"/>
        </w:numPr>
        <w:jc w:val="both"/>
        <w:rPr>
          <w:rFonts w:asciiTheme="majorHAnsi" w:hAnsiTheme="majorHAnsi" w:cstheme="majorHAnsi"/>
        </w:rPr>
      </w:pPr>
      <w:r>
        <w:rPr>
          <w:rFonts w:asciiTheme="majorHAnsi" w:hAnsiTheme="majorHAnsi" w:cstheme="majorHAnsi"/>
        </w:rPr>
        <w:lastRenderedPageBreak/>
        <w:t>ASIC</w:t>
      </w:r>
      <w:r w:rsidRPr="00553B79">
        <w:rPr>
          <w:rFonts w:asciiTheme="majorHAnsi" w:hAnsiTheme="majorHAnsi" w:cstheme="majorHAnsi"/>
        </w:rPr>
        <w:t xml:space="preserve"> will consider all the circumstances of a case in deciding whether to make an order to recover </w:t>
      </w:r>
      <w:r>
        <w:rPr>
          <w:rFonts w:asciiTheme="majorHAnsi" w:hAnsiTheme="majorHAnsi" w:cstheme="majorHAnsi"/>
        </w:rPr>
        <w:t>its</w:t>
      </w:r>
      <w:r w:rsidRPr="00553B79">
        <w:rPr>
          <w:rFonts w:asciiTheme="majorHAnsi" w:hAnsiTheme="majorHAnsi" w:cstheme="majorHAnsi"/>
        </w:rPr>
        <w:t xml:space="preserve"> investigation expenses and costs and, if so, the amount of the order. The factors </w:t>
      </w:r>
      <w:r>
        <w:rPr>
          <w:rFonts w:asciiTheme="majorHAnsi" w:hAnsiTheme="majorHAnsi" w:cstheme="majorHAnsi"/>
        </w:rPr>
        <w:t>ASIC</w:t>
      </w:r>
      <w:r w:rsidRPr="00553B79">
        <w:rPr>
          <w:rFonts w:asciiTheme="majorHAnsi" w:hAnsiTheme="majorHAnsi" w:cstheme="majorHAnsi"/>
        </w:rPr>
        <w:t xml:space="preserve"> will consider and the weight that </w:t>
      </w:r>
      <w:r>
        <w:rPr>
          <w:rFonts w:asciiTheme="majorHAnsi" w:hAnsiTheme="majorHAnsi" w:cstheme="majorHAnsi"/>
        </w:rPr>
        <w:t>it</w:t>
      </w:r>
      <w:r w:rsidRPr="00553B79">
        <w:rPr>
          <w:rFonts w:asciiTheme="majorHAnsi" w:hAnsiTheme="majorHAnsi" w:cstheme="majorHAnsi"/>
        </w:rPr>
        <w:t xml:space="preserve"> will afford to each of those factors will vary according to the circumstances of the case.</w:t>
      </w:r>
    </w:p>
    <w:p w14:paraId="14AB7FB5" w14:textId="77777777" w:rsidR="00901B50" w:rsidRDefault="00901B50" w:rsidP="00901B50">
      <w:pPr>
        <w:jc w:val="both"/>
        <w:rPr>
          <w:rFonts w:cstheme="majorHAnsi"/>
        </w:rPr>
      </w:pPr>
    </w:p>
    <w:p w14:paraId="124EECF1" w14:textId="77777777" w:rsidR="00553B79" w:rsidRDefault="00553B79" w:rsidP="00553B79">
      <w:pPr>
        <w:pStyle w:val="ListParagraph"/>
        <w:numPr>
          <w:ilvl w:val="0"/>
          <w:numId w:val="8"/>
        </w:numPr>
        <w:jc w:val="both"/>
        <w:rPr>
          <w:rFonts w:asciiTheme="majorHAnsi" w:hAnsiTheme="majorHAnsi" w:cstheme="majorHAnsi"/>
        </w:rPr>
      </w:pPr>
      <w:r w:rsidRPr="00553B79">
        <w:rPr>
          <w:rFonts w:asciiTheme="majorHAnsi" w:hAnsiTheme="majorHAnsi" w:cstheme="majorHAnsi"/>
        </w:rPr>
        <w:t xml:space="preserve">Broadly, however, </w:t>
      </w:r>
      <w:r>
        <w:rPr>
          <w:rFonts w:asciiTheme="majorHAnsi" w:hAnsiTheme="majorHAnsi" w:cstheme="majorHAnsi"/>
        </w:rPr>
        <w:t>ASIC</w:t>
      </w:r>
      <w:r w:rsidRPr="00553B79">
        <w:rPr>
          <w:rFonts w:asciiTheme="majorHAnsi" w:hAnsiTheme="majorHAnsi" w:cstheme="majorHAnsi"/>
        </w:rPr>
        <w:t xml:space="preserve"> will consider the </w:t>
      </w:r>
      <w:r>
        <w:rPr>
          <w:rFonts w:asciiTheme="majorHAnsi" w:hAnsiTheme="majorHAnsi" w:cstheme="majorHAnsi"/>
        </w:rPr>
        <w:t xml:space="preserve">following </w:t>
      </w:r>
      <w:r w:rsidRPr="00553B79">
        <w:rPr>
          <w:rFonts w:asciiTheme="majorHAnsi" w:hAnsiTheme="majorHAnsi" w:cstheme="majorHAnsi"/>
        </w:rPr>
        <w:t>factors</w:t>
      </w:r>
      <w:r>
        <w:rPr>
          <w:rFonts w:asciiTheme="majorHAnsi" w:hAnsiTheme="majorHAnsi" w:cstheme="majorHAnsi"/>
        </w:rPr>
        <w:t>:</w:t>
      </w:r>
    </w:p>
    <w:p w14:paraId="78E49724" w14:textId="77777777" w:rsid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Impecuniosity of the person</w:t>
      </w:r>
    </w:p>
    <w:p w14:paraId="748725C1" w14:textId="77777777" w:rsidR="00553B79" w:rsidRP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Exceptional hardship to the person</w:t>
      </w:r>
    </w:p>
    <w:p w14:paraId="7FC049AE" w14:textId="77777777" w:rsidR="00553B79" w:rsidRP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The amount recoverable under an order</w:t>
      </w:r>
    </w:p>
    <w:p w14:paraId="0ED7A00F" w14:textId="77777777" w:rsidR="00553B79" w:rsidRP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Extent of ASIC’s success in the proceedings</w:t>
      </w:r>
    </w:p>
    <w:p w14:paraId="01241F11" w14:textId="77777777" w:rsid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Likely effect on victims</w:t>
      </w:r>
    </w:p>
    <w:p w14:paraId="61C88AD1" w14:textId="77777777" w:rsidR="00553B79" w:rsidRP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Degree of culpability</w:t>
      </w:r>
    </w:p>
    <w:p w14:paraId="6582643E" w14:textId="77777777" w:rsidR="00553B79" w:rsidRP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Degree of cooperation</w:t>
      </w:r>
    </w:p>
    <w:p w14:paraId="564C8E8A" w14:textId="77777777" w:rsidR="00553B79" w:rsidRDefault="00553B79" w:rsidP="00553B79">
      <w:pPr>
        <w:pStyle w:val="ListParagraph"/>
        <w:numPr>
          <w:ilvl w:val="1"/>
          <w:numId w:val="8"/>
        </w:numPr>
        <w:jc w:val="both"/>
        <w:rPr>
          <w:rFonts w:asciiTheme="majorHAnsi" w:hAnsiTheme="majorHAnsi" w:cstheme="majorHAnsi"/>
        </w:rPr>
      </w:pPr>
      <w:r w:rsidRPr="00553B79">
        <w:rPr>
          <w:rFonts w:asciiTheme="majorHAnsi" w:hAnsiTheme="majorHAnsi" w:cstheme="majorHAnsi"/>
        </w:rPr>
        <w:t>Scope of the investigation</w:t>
      </w:r>
    </w:p>
    <w:p w14:paraId="5205332D" w14:textId="77777777" w:rsidR="00BA37A9" w:rsidRPr="00BA37A9" w:rsidRDefault="00BA37A9" w:rsidP="00BA37A9">
      <w:pPr>
        <w:jc w:val="both"/>
        <w:rPr>
          <w:rFonts w:cstheme="majorHAnsi"/>
        </w:rPr>
      </w:pPr>
    </w:p>
    <w:p w14:paraId="2C892688" w14:textId="455EAC00" w:rsidR="00F52CF7" w:rsidRPr="009410FA" w:rsidRDefault="00F52CF7" w:rsidP="00F52CF7">
      <w:pPr>
        <w:pStyle w:val="ListParagraph"/>
        <w:numPr>
          <w:ilvl w:val="0"/>
          <w:numId w:val="8"/>
        </w:numPr>
        <w:spacing w:line="276" w:lineRule="auto"/>
        <w:jc w:val="both"/>
        <w:rPr>
          <w:rFonts w:asciiTheme="majorHAnsi" w:hAnsiTheme="majorHAnsi" w:cstheme="majorHAnsi"/>
        </w:rPr>
      </w:pPr>
      <w:r w:rsidRPr="00F52CF7">
        <w:rPr>
          <w:rFonts w:asciiTheme="majorHAnsi" w:hAnsiTheme="majorHAnsi" w:cstheme="majorHAnsi"/>
        </w:rPr>
        <w:t xml:space="preserve">The factors are not listed in order of importance and </w:t>
      </w:r>
      <w:r w:rsidR="00A4393B">
        <w:rPr>
          <w:rFonts w:asciiTheme="majorHAnsi" w:hAnsiTheme="majorHAnsi" w:cstheme="majorHAnsi"/>
        </w:rPr>
        <w:t>this</w:t>
      </w:r>
      <w:r w:rsidR="00A4393B" w:rsidRPr="00F52CF7">
        <w:rPr>
          <w:rFonts w:asciiTheme="majorHAnsi" w:hAnsiTheme="majorHAnsi" w:cstheme="majorHAnsi"/>
        </w:rPr>
        <w:t xml:space="preserve"> </w:t>
      </w:r>
      <w:r w:rsidRPr="00F52CF7">
        <w:rPr>
          <w:rFonts w:asciiTheme="majorHAnsi" w:hAnsiTheme="majorHAnsi" w:cstheme="majorHAnsi"/>
        </w:rPr>
        <w:t xml:space="preserve">is not an exhaustive list.  </w:t>
      </w:r>
      <w:r w:rsidR="00FD197C">
        <w:rPr>
          <w:rFonts w:asciiTheme="majorHAnsi" w:hAnsiTheme="majorHAnsi" w:cstheme="majorHAnsi"/>
        </w:rPr>
        <w:t>ASIC’s Information Sheet</w:t>
      </w:r>
      <w:r w:rsidR="009410FA">
        <w:rPr>
          <w:rFonts w:asciiTheme="majorHAnsi" w:hAnsiTheme="majorHAnsi" w:cstheme="majorHAnsi"/>
        </w:rPr>
        <w:t>, referred to in footnote 1</w:t>
      </w:r>
      <w:r w:rsidRPr="009410FA">
        <w:rPr>
          <w:rFonts w:asciiTheme="majorHAnsi" w:hAnsiTheme="majorHAnsi"/>
        </w:rPr>
        <w:t xml:space="preserve"> provides an explan</w:t>
      </w:r>
      <w:r w:rsidR="00FD197C">
        <w:rPr>
          <w:rFonts w:asciiTheme="majorHAnsi" w:hAnsiTheme="majorHAnsi"/>
        </w:rPr>
        <w:t>a</w:t>
      </w:r>
      <w:r w:rsidRPr="009410FA">
        <w:rPr>
          <w:rFonts w:asciiTheme="majorHAnsi" w:hAnsiTheme="majorHAnsi"/>
        </w:rPr>
        <w:t>tion of the factors.</w:t>
      </w:r>
    </w:p>
    <w:p w14:paraId="2FF8F204" w14:textId="77777777" w:rsidR="009410FA" w:rsidRPr="009410FA" w:rsidRDefault="009410FA" w:rsidP="009410FA">
      <w:pPr>
        <w:spacing w:after="0" w:line="276" w:lineRule="auto"/>
        <w:jc w:val="both"/>
        <w:rPr>
          <w:rFonts w:cstheme="majorHAnsi"/>
        </w:rPr>
      </w:pPr>
    </w:p>
    <w:p w14:paraId="2497F970" w14:textId="77777777" w:rsidR="00F52CF7" w:rsidRPr="00F52CF7" w:rsidRDefault="00F52CF7" w:rsidP="00F52CF7">
      <w:pPr>
        <w:pStyle w:val="ListParagraph"/>
        <w:numPr>
          <w:ilvl w:val="0"/>
          <w:numId w:val="8"/>
        </w:numPr>
        <w:spacing w:line="276" w:lineRule="auto"/>
        <w:jc w:val="both"/>
        <w:rPr>
          <w:rFonts w:asciiTheme="majorHAnsi" w:hAnsiTheme="majorHAnsi" w:cstheme="majorHAnsi"/>
        </w:rPr>
      </w:pPr>
      <w:r>
        <w:rPr>
          <w:rFonts w:asciiTheme="majorHAnsi" w:hAnsiTheme="majorHAnsi" w:cstheme="majorHAnsi"/>
        </w:rPr>
        <w:t>In cases where there are multiple defendants, the form of orders ASIC will make will depend on the circumstances of the matter.</w:t>
      </w:r>
    </w:p>
    <w:p w14:paraId="754902D8" w14:textId="77777777" w:rsidR="00F52CF7" w:rsidRPr="00F52CF7" w:rsidRDefault="00F52CF7" w:rsidP="009410FA">
      <w:pPr>
        <w:pStyle w:val="ListParagraph"/>
        <w:numPr>
          <w:ilvl w:val="0"/>
          <w:numId w:val="0"/>
        </w:numPr>
        <w:spacing w:before="0" w:line="276" w:lineRule="auto"/>
        <w:ind w:left="360"/>
        <w:jc w:val="both"/>
        <w:rPr>
          <w:rFonts w:asciiTheme="majorHAnsi" w:hAnsiTheme="majorHAnsi" w:cstheme="majorHAnsi"/>
        </w:rPr>
      </w:pPr>
    </w:p>
    <w:p w14:paraId="0CFF0B6A" w14:textId="77777777" w:rsidR="00553B79" w:rsidRDefault="00553B79" w:rsidP="00553B79">
      <w:pPr>
        <w:pStyle w:val="ListParagraph"/>
        <w:numPr>
          <w:ilvl w:val="0"/>
          <w:numId w:val="8"/>
        </w:numPr>
        <w:jc w:val="both"/>
        <w:rPr>
          <w:rFonts w:asciiTheme="majorHAnsi" w:hAnsiTheme="majorHAnsi" w:cstheme="majorHAnsi"/>
        </w:rPr>
      </w:pPr>
      <w:r w:rsidRPr="00553B79">
        <w:rPr>
          <w:rFonts w:asciiTheme="majorHAnsi" w:hAnsiTheme="majorHAnsi" w:cstheme="majorHAnsi"/>
        </w:rPr>
        <w:t>ASIC</w:t>
      </w:r>
      <w:r w:rsidR="00BA37A9">
        <w:rPr>
          <w:rFonts w:asciiTheme="majorHAnsi" w:hAnsiTheme="majorHAnsi" w:cstheme="majorHAnsi"/>
        </w:rPr>
        <w:t>’s policy is to</w:t>
      </w:r>
      <w:r w:rsidRPr="00553B79">
        <w:rPr>
          <w:rFonts w:asciiTheme="majorHAnsi" w:hAnsiTheme="majorHAnsi" w:cstheme="majorHAnsi"/>
        </w:rPr>
        <w:t xml:space="preserve"> notify </w:t>
      </w:r>
      <w:r w:rsidR="00901B50">
        <w:rPr>
          <w:rFonts w:asciiTheme="majorHAnsi" w:hAnsiTheme="majorHAnsi" w:cstheme="majorHAnsi"/>
        </w:rPr>
        <w:t>the person</w:t>
      </w:r>
      <w:r w:rsidRPr="00553B79">
        <w:rPr>
          <w:rFonts w:asciiTheme="majorHAnsi" w:hAnsiTheme="majorHAnsi" w:cstheme="majorHAnsi"/>
        </w:rPr>
        <w:t xml:space="preserve">, prior to any sentence hearing or hearing on penalty or other relief, if </w:t>
      </w:r>
      <w:r w:rsidR="00901B50">
        <w:rPr>
          <w:rFonts w:asciiTheme="majorHAnsi" w:hAnsiTheme="majorHAnsi" w:cstheme="majorHAnsi"/>
        </w:rPr>
        <w:t>it is</w:t>
      </w:r>
      <w:r w:rsidRPr="00553B79">
        <w:rPr>
          <w:rFonts w:asciiTheme="majorHAnsi" w:hAnsiTheme="majorHAnsi" w:cstheme="majorHAnsi"/>
        </w:rPr>
        <w:t xml:space="preserve"> considering making an order to recover the expenses and </w:t>
      </w:r>
      <w:r w:rsidRPr="00553B79">
        <w:rPr>
          <w:rFonts w:asciiTheme="majorHAnsi" w:hAnsiTheme="majorHAnsi" w:cstheme="majorHAnsi"/>
        </w:rPr>
        <w:lastRenderedPageBreak/>
        <w:t xml:space="preserve">costs of </w:t>
      </w:r>
      <w:r>
        <w:rPr>
          <w:rFonts w:asciiTheme="majorHAnsi" w:hAnsiTheme="majorHAnsi" w:cstheme="majorHAnsi"/>
        </w:rPr>
        <w:t>its</w:t>
      </w:r>
      <w:r w:rsidRPr="00553B79">
        <w:rPr>
          <w:rFonts w:asciiTheme="majorHAnsi" w:hAnsiTheme="majorHAnsi" w:cstheme="majorHAnsi"/>
        </w:rPr>
        <w:t xml:space="preserve"> investigation. </w:t>
      </w:r>
      <w:r w:rsidR="00901B50">
        <w:rPr>
          <w:rFonts w:asciiTheme="majorHAnsi" w:hAnsiTheme="majorHAnsi" w:cstheme="majorHAnsi"/>
        </w:rPr>
        <w:t>ASIC</w:t>
      </w:r>
      <w:r w:rsidRPr="00553B79">
        <w:rPr>
          <w:rFonts w:asciiTheme="majorHAnsi" w:hAnsiTheme="majorHAnsi" w:cstheme="majorHAnsi"/>
        </w:rPr>
        <w:t xml:space="preserve"> will also inform </w:t>
      </w:r>
      <w:r w:rsidR="00BA37A9">
        <w:rPr>
          <w:rFonts w:asciiTheme="majorHAnsi" w:hAnsiTheme="majorHAnsi" w:cstheme="majorHAnsi"/>
        </w:rPr>
        <w:t>the person</w:t>
      </w:r>
      <w:r w:rsidRPr="00553B79">
        <w:rPr>
          <w:rFonts w:asciiTheme="majorHAnsi" w:hAnsiTheme="majorHAnsi" w:cstheme="majorHAnsi"/>
        </w:rPr>
        <w:t xml:space="preserve"> of the proposed amount of any order.</w:t>
      </w:r>
    </w:p>
    <w:p w14:paraId="2F658733" w14:textId="77777777" w:rsidR="00BA37A9" w:rsidRPr="00BA37A9" w:rsidRDefault="00BA37A9" w:rsidP="00BA37A9">
      <w:pPr>
        <w:jc w:val="both"/>
        <w:rPr>
          <w:rFonts w:cstheme="majorHAnsi"/>
        </w:rPr>
      </w:pPr>
    </w:p>
    <w:p w14:paraId="65007103" w14:textId="77777777" w:rsidR="00553B79" w:rsidRDefault="00901B50" w:rsidP="00553B79">
      <w:pPr>
        <w:pStyle w:val="ListParagraph"/>
        <w:numPr>
          <w:ilvl w:val="0"/>
          <w:numId w:val="8"/>
        </w:numPr>
        <w:jc w:val="both"/>
        <w:rPr>
          <w:rFonts w:asciiTheme="majorHAnsi" w:hAnsiTheme="majorHAnsi" w:cstheme="majorHAnsi"/>
        </w:rPr>
      </w:pPr>
      <w:r>
        <w:rPr>
          <w:rFonts w:asciiTheme="majorHAnsi" w:hAnsiTheme="majorHAnsi" w:cstheme="majorHAnsi"/>
        </w:rPr>
        <w:t>The person</w:t>
      </w:r>
      <w:r w:rsidR="00553B79" w:rsidRPr="00553B79">
        <w:rPr>
          <w:rFonts w:asciiTheme="majorHAnsi" w:hAnsiTheme="majorHAnsi" w:cstheme="majorHAnsi"/>
        </w:rPr>
        <w:t xml:space="preserve"> will be given a reasonable period of time to consider the proposed order and to make written submissions to ASIC about whether the order should be made, the amount and the form of the order. </w:t>
      </w:r>
      <w:r>
        <w:rPr>
          <w:rFonts w:asciiTheme="majorHAnsi" w:hAnsiTheme="majorHAnsi" w:cstheme="majorHAnsi"/>
        </w:rPr>
        <w:t>ASIC</w:t>
      </w:r>
      <w:r w:rsidR="00553B79" w:rsidRPr="00553B79">
        <w:rPr>
          <w:rFonts w:asciiTheme="majorHAnsi" w:hAnsiTheme="majorHAnsi" w:cstheme="majorHAnsi"/>
        </w:rPr>
        <w:t xml:space="preserve"> will consider any submissions before making a decision.</w:t>
      </w:r>
    </w:p>
    <w:p w14:paraId="5CFC76DA" w14:textId="77777777" w:rsidR="00BA37A9" w:rsidRPr="00BA37A9" w:rsidRDefault="00BA37A9" w:rsidP="00BA37A9">
      <w:pPr>
        <w:rPr>
          <w:rFonts w:cstheme="majorHAnsi"/>
        </w:rPr>
      </w:pPr>
    </w:p>
    <w:p w14:paraId="5C685F36" w14:textId="77777777" w:rsidR="00553B79" w:rsidRDefault="00553B79" w:rsidP="00553B79">
      <w:pPr>
        <w:pStyle w:val="ListParagraph"/>
        <w:numPr>
          <w:ilvl w:val="0"/>
          <w:numId w:val="8"/>
        </w:numPr>
        <w:jc w:val="both"/>
        <w:rPr>
          <w:rFonts w:asciiTheme="majorHAnsi" w:hAnsiTheme="majorHAnsi" w:cstheme="majorHAnsi"/>
        </w:rPr>
      </w:pPr>
      <w:r w:rsidRPr="00553B79">
        <w:rPr>
          <w:rFonts w:asciiTheme="majorHAnsi" w:hAnsiTheme="majorHAnsi" w:cstheme="majorHAnsi"/>
        </w:rPr>
        <w:t xml:space="preserve">An order to recover the expenses or costs of </w:t>
      </w:r>
      <w:r>
        <w:rPr>
          <w:rFonts w:asciiTheme="majorHAnsi" w:hAnsiTheme="majorHAnsi" w:cstheme="majorHAnsi"/>
        </w:rPr>
        <w:t>its</w:t>
      </w:r>
      <w:r w:rsidRPr="00553B79">
        <w:rPr>
          <w:rFonts w:asciiTheme="majorHAnsi" w:hAnsiTheme="majorHAnsi" w:cstheme="majorHAnsi"/>
        </w:rPr>
        <w:t xml:space="preserve"> investigation is enforceable in court as a debt due to ASIC.</w:t>
      </w:r>
    </w:p>
    <w:p w14:paraId="2B19888A" w14:textId="77777777" w:rsidR="00F52CF7" w:rsidRPr="009410FA" w:rsidRDefault="00F52CF7" w:rsidP="009410FA">
      <w:pPr>
        <w:pStyle w:val="ListParagraph"/>
        <w:numPr>
          <w:ilvl w:val="0"/>
          <w:numId w:val="0"/>
        </w:numPr>
        <w:ind w:left="340"/>
        <w:rPr>
          <w:rFonts w:asciiTheme="majorHAnsi" w:hAnsiTheme="majorHAnsi" w:cstheme="majorHAnsi"/>
        </w:rPr>
      </w:pPr>
    </w:p>
    <w:p w14:paraId="0D97DB85" w14:textId="07C945FF" w:rsidR="00F52CF7" w:rsidRPr="009410FA" w:rsidRDefault="00F52CF7" w:rsidP="00F52CF7">
      <w:pPr>
        <w:pStyle w:val="ListParagraph"/>
        <w:numPr>
          <w:ilvl w:val="0"/>
          <w:numId w:val="8"/>
        </w:numPr>
        <w:jc w:val="both"/>
        <w:rPr>
          <w:rFonts w:asciiTheme="majorHAnsi" w:hAnsiTheme="majorHAnsi" w:cstheme="majorHAnsi"/>
        </w:rPr>
      </w:pPr>
      <w:r>
        <w:rPr>
          <w:rFonts w:asciiTheme="majorHAnsi" w:hAnsiTheme="majorHAnsi" w:cstheme="majorHAnsi"/>
        </w:rPr>
        <w:t xml:space="preserve">A person who fails to comply with an order to pay costs, may be liable to a penalty of </w:t>
      </w:r>
      <w:r w:rsidR="003D0377">
        <w:rPr>
          <w:rFonts w:asciiTheme="majorHAnsi" w:hAnsiTheme="majorHAnsi" w:cstheme="majorHAnsi"/>
        </w:rPr>
        <w:t>120 penalty units</w:t>
      </w:r>
      <w:r w:rsidR="00B060E4">
        <w:rPr>
          <w:rFonts w:asciiTheme="majorHAnsi" w:hAnsiTheme="majorHAnsi" w:cstheme="majorHAnsi"/>
        </w:rPr>
        <w:t xml:space="preserve"> – see s91(3)</w:t>
      </w:r>
      <w:r>
        <w:rPr>
          <w:rFonts w:asciiTheme="majorHAnsi" w:hAnsiTheme="majorHAnsi" w:cstheme="majorHAnsi"/>
        </w:rPr>
        <w:t>.</w:t>
      </w:r>
    </w:p>
    <w:p w14:paraId="15CD3870" w14:textId="77777777" w:rsidR="001D0245" w:rsidRDefault="001D0245" w:rsidP="00D411D8">
      <w:pPr>
        <w:spacing w:before="240"/>
        <w:jc w:val="both"/>
        <w:rPr>
          <w:rFonts w:cstheme="majorHAnsi"/>
          <w:b/>
          <w:u w:val="single"/>
        </w:rPr>
      </w:pPr>
    </w:p>
    <w:p w14:paraId="7CFAE039" w14:textId="77777777" w:rsidR="00380C51" w:rsidRPr="00380C51" w:rsidRDefault="00901B50" w:rsidP="00D411D8">
      <w:pPr>
        <w:spacing w:before="240"/>
        <w:jc w:val="both"/>
        <w:rPr>
          <w:rFonts w:cstheme="majorHAnsi"/>
          <w:b/>
          <w:u w:val="single"/>
        </w:rPr>
      </w:pPr>
      <w:r>
        <w:rPr>
          <w:rFonts w:cstheme="majorHAnsi"/>
          <w:b/>
          <w:u w:val="single"/>
        </w:rPr>
        <w:t>Prosecutions being conducted by the CDPP</w:t>
      </w:r>
    </w:p>
    <w:p w14:paraId="3F78EC1C" w14:textId="3B58784D" w:rsidR="00BA37A9" w:rsidRDefault="007B6A0D" w:rsidP="007B6A0D">
      <w:pPr>
        <w:pStyle w:val="ListParagraph"/>
        <w:numPr>
          <w:ilvl w:val="0"/>
          <w:numId w:val="8"/>
        </w:numPr>
        <w:jc w:val="both"/>
        <w:rPr>
          <w:rFonts w:asciiTheme="majorHAnsi" w:hAnsiTheme="majorHAnsi" w:cstheme="majorHAnsi"/>
        </w:rPr>
      </w:pPr>
      <w:r>
        <w:rPr>
          <w:rFonts w:asciiTheme="majorHAnsi" w:hAnsiTheme="majorHAnsi" w:cstheme="majorHAnsi"/>
        </w:rPr>
        <w:t>In ASIC investigated matters which are being prosecuted by the CDPP</w:t>
      </w:r>
      <w:r w:rsidR="00F52CF7">
        <w:rPr>
          <w:rFonts w:asciiTheme="majorHAnsi" w:hAnsiTheme="majorHAnsi" w:cstheme="majorHAnsi"/>
        </w:rPr>
        <w:t xml:space="preserve">, </w:t>
      </w:r>
      <w:r>
        <w:rPr>
          <w:rFonts w:asciiTheme="majorHAnsi" w:hAnsiTheme="majorHAnsi" w:cstheme="majorHAnsi"/>
        </w:rPr>
        <w:t xml:space="preserve">ASIC’s starting point, subject to the factors listed in paragraph </w:t>
      </w:r>
      <w:r w:rsidR="00A4393B">
        <w:rPr>
          <w:rFonts w:asciiTheme="majorHAnsi" w:hAnsiTheme="majorHAnsi" w:cstheme="majorHAnsi"/>
        </w:rPr>
        <w:t xml:space="preserve">9 </w:t>
      </w:r>
      <w:r>
        <w:rPr>
          <w:rFonts w:asciiTheme="majorHAnsi" w:hAnsiTheme="majorHAnsi" w:cstheme="majorHAnsi"/>
        </w:rPr>
        <w:t xml:space="preserve">is to make an order under s 91.  </w:t>
      </w:r>
    </w:p>
    <w:p w14:paraId="1D06BC53" w14:textId="77777777" w:rsidR="00BA37A9" w:rsidRPr="00BA37A9" w:rsidRDefault="00BA37A9" w:rsidP="00BA37A9">
      <w:pPr>
        <w:jc w:val="both"/>
        <w:rPr>
          <w:rFonts w:cstheme="majorHAnsi"/>
        </w:rPr>
      </w:pPr>
    </w:p>
    <w:p w14:paraId="267380F0" w14:textId="4C0C04E1" w:rsidR="00380C51" w:rsidRDefault="007B6A0D" w:rsidP="00FD6270">
      <w:pPr>
        <w:pStyle w:val="ListParagraph"/>
        <w:numPr>
          <w:ilvl w:val="0"/>
          <w:numId w:val="8"/>
        </w:numPr>
        <w:jc w:val="both"/>
        <w:rPr>
          <w:rFonts w:asciiTheme="majorHAnsi" w:hAnsiTheme="majorHAnsi" w:cstheme="majorHAnsi"/>
        </w:rPr>
      </w:pPr>
      <w:r>
        <w:rPr>
          <w:rFonts w:asciiTheme="majorHAnsi" w:hAnsiTheme="majorHAnsi" w:cstheme="majorHAnsi"/>
        </w:rPr>
        <w:t xml:space="preserve">However, </w:t>
      </w:r>
      <w:r w:rsidR="00FD6270">
        <w:rPr>
          <w:rFonts w:asciiTheme="majorHAnsi" w:hAnsiTheme="majorHAnsi" w:cstheme="majorHAnsi"/>
        </w:rPr>
        <w:t>ASIC’s position is not to make a s 91 order in</w:t>
      </w:r>
      <w:r>
        <w:rPr>
          <w:rFonts w:asciiTheme="majorHAnsi" w:hAnsiTheme="majorHAnsi" w:cstheme="majorHAnsi"/>
        </w:rPr>
        <w:t xml:space="preserve"> matters which have resulted in a defendant pleading guilty pursuant to the ASIC/CDPP Best Practice Guideline on ‘</w:t>
      </w:r>
      <w:hyperlink r:id="rId8" w:history="1">
        <w:r w:rsidRPr="00FD6270">
          <w:rPr>
            <w:rStyle w:val="Hyperlink"/>
            <w:rFonts w:asciiTheme="majorHAnsi" w:hAnsiTheme="majorHAnsi" w:cstheme="majorHAnsi"/>
            <w:b/>
            <w:i/>
          </w:rPr>
          <w:t>Assessing pre-brief guilty plea proposals in ASIC matters</w:t>
        </w:r>
      </w:hyperlink>
      <w:r w:rsidRPr="007B6A0D">
        <w:rPr>
          <w:rFonts w:asciiTheme="majorHAnsi" w:hAnsiTheme="majorHAnsi" w:cstheme="majorHAnsi"/>
          <w:b/>
          <w:i/>
        </w:rPr>
        <w:t>’.</w:t>
      </w:r>
      <w:r>
        <w:rPr>
          <w:rFonts w:asciiTheme="majorHAnsi" w:hAnsiTheme="majorHAnsi" w:cstheme="majorHAnsi"/>
        </w:rPr>
        <w:t xml:space="preserve"> </w:t>
      </w:r>
      <w:r w:rsidR="00FD6270">
        <w:rPr>
          <w:rFonts w:asciiTheme="majorHAnsi" w:hAnsiTheme="majorHAnsi" w:cstheme="majorHAnsi"/>
        </w:rPr>
        <w:t xml:space="preserve">These guidelines </w:t>
      </w:r>
      <w:r w:rsidR="00FD6270" w:rsidRPr="00FD6270">
        <w:rPr>
          <w:rFonts w:asciiTheme="majorHAnsi" w:hAnsiTheme="majorHAnsi" w:cstheme="majorHAnsi"/>
        </w:rPr>
        <w:t xml:space="preserve">set out the procedures to be adopted where a guilty plea is proposed in a matter being investigated by </w:t>
      </w:r>
      <w:r w:rsidR="00FD6270">
        <w:rPr>
          <w:rFonts w:asciiTheme="majorHAnsi" w:hAnsiTheme="majorHAnsi" w:cstheme="majorHAnsi"/>
        </w:rPr>
        <w:t>ASIC</w:t>
      </w:r>
      <w:r w:rsidR="00FD6270" w:rsidRPr="00FD6270">
        <w:rPr>
          <w:rFonts w:asciiTheme="majorHAnsi" w:hAnsiTheme="majorHAnsi" w:cstheme="majorHAnsi"/>
        </w:rPr>
        <w:t xml:space="preserve"> before ASIC has referred a full brief of evidence to the CDPP.</w:t>
      </w:r>
    </w:p>
    <w:p w14:paraId="38264749" w14:textId="77777777" w:rsidR="00BA37A9" w:rsidRPr="00BA37A9" w:rsidRDefault="00BA37A9" w:rsidP="00BA37A9">
      <w:pPr>
        <w:jc w:val="both"/>
        <w:rPr>
          <w:rFonts w:cstheme="majorHAnsi"/>
        </w:rPr>
      </w:pPr>
    </w:p>
    <w:p w14:paraId="702C86F2" w14:textId="23E51725" w:rsidR="000F7497" w:rsidRDefault="007B6A0D" w:rsidP="000F7497">
      <w:pPr>
        <w:pStyle w:val="ListParagraph"/>
        <w:numPr>
          <w:ilvl w:val="0"/>
          <w:numId w:val="8"/>
        </w:numPr>
        <w:jc w:val="both"/>
        <w:rPr>
          <w:rFonts w:asciiTheme="majorHAnsi" w:hAnsiTheme="majorHAnsi" w:cstheme="majorHAnsi"/>
        </w:rPr>
      </w:pPr>
      <w:r w:rsidRPr="000F7497">
        <w:rPr>
          <w:rFonts w:asciiTheme="majorHAnsi" w:hAnsiTheme="majorHAnsi" w:cstheme="majorHAnsi"/>
        </w:rPr>
        <w:t xml:space="preserve">In all </w:t>
      </w:r>
      <w:r w:rsidR="00CA3508" w:rsidRPr="000F7497">
        <w:rPr>
          <w:rFonts w:asciiTheme="majorHAnsi" w:hAnsiTheme="majorHAnsi" w:cstheme="majorHAnsi"/>
        </w:rPr>
        <w:t>ASIC investigated matters being prosecuted by the CDPP ASIC will inform the CDPP</w:t>
      </w:r>
      <w:r w:rsidR="00443CF5" w:rsidRPr="000F7497">
        <w:rPr>
          <w:rFonts w:asciiTheme="majorHAnsi" w:hAnsiTheme="majorHAnsi" w:cstheme="majorHAnsi"/>
        </w:rPr>
        <w:t>, a</w:t>
      </w:r>
      <w:r w:rsidR="000F7497" w:rsidRPr="000F7497">
        <w:rPr>
          <w:rFonts w:asciiTheme="majorHAnsi" w:hAnsiTheme="majorHAnsi" w:cstheme="majorHAnsi"/>
        </w:rPr>
        <w:t>s soon as it is in a position to</w:t>
      </w:r>
      <w:r w:rsidR="00443CF5" w:rsidRPr="000F7497">
        <w:rPr>
          <w:rFonts w:asciiTheme="majorHAnsi" w:hAnsiTheme="majorHAnsi" w:cstheme="majorHAnsi"/>
        </w:rPr>
        <w:t>,</w:t>
      </w:r>
      <w:r w:rsidR="00A4393B" w:rsidRPr="000F7497">
        <w:rPr>
          <w:rFonts w:asciiTheme="majorHAnsi" w:hAnsiTheme="majorHAnsi" w:cstheme="majorHAnsi"/>
        </w:rPr>
        <w:t xml:space="preserve"> </w:t>
      </w:r>
      <w:r w:rsidR="00FB7D10" w:rsidRPr="000F7497">
        <w:rPr>
          <w:rFonts w:asciiTheme="majorHAnsi" w:hAnsiTheme="majorHAnsi" w:cstheme="majorHAnsi"/>
        </w:rPr>
        <w:t>of its intention</w:t>
      </w:r>
      <w:r w:rsidR="00CA3508" w:rsidRPr="000F7497">
        <w:rPr>
          <w:rFonts w:asciiTheme="majorHAnsi" w:hAnsiTheme="majorHAnsi" w:cstheme="majorHAnsi"/>
        </w:rPr>
        <w:t xml:space="preserve"> to make a s 91 order and its relevant terms, such as quantum.</w:t>
      </w:r>
      <w:r w:rsidR="000F7497" w:rsidRPr="000F7497">
        <w:rPr>
          <w:rFonts w:asciiTheme="majorHAnsi" w:hAnsiTheme="majorHAnsi" w:cstheme="majorHAnsi"/>
        </w:rPr>
        <w:t xml:space="preserve"> </w:t>
      </w:r>
    </w:p>
    <w:p w14:paraId="4DE99D2F" w14:textId="77777777" w:rsidR="000F7497" w:rsidRPr="000F7497" w:rsidRDefault="000F7497" w:rsidP="00476E9C">
      <w:pPr>
        <w:ind w:left="340" w:hanging="340"/>
        <w:jc w:val="both"/>
        <w:rPr>
          <w:rFonts w:cstheme="majorHAnsi"/>
        </w:rPr>
      </w:pPr>
    </w:p>
    <w:p w14:paraId="079CFFB0" w14:textId="137F1D00" w:rsidR="00A4393B" w:rsidRPr="000F7497" w:rsidRDefault="000F7497" w:rsidP="000F7497">
      <w:pPr>
        <w:pStyle w:val="ListParagraph"/>
        <w:numPr>
          <w:ilvl w:val="0"/>
          <w:numId w:val="8"/>
        </w:numPr>
        <w:jc w:val="both"/>
        <w:rPr>
          <w:rFonts w:asciiTheme="majorHAnsi" w:hAnsiTheme="majorHAnsi" w:cstheme="majorHAnsi"/>
        </w:rPr>
      </w:pPr>
      <w:r w:rsidRPr="000F7497">
        <w:rPr>
          <w:rFonts w:asciiTheme="majorHAnsi" w:hAnsiTheme="majorHAnsi" w:cstheme="majorHAnsi"/>
        </w:rPr>
        <w:t xml:space="preserve">However, as the details of several of the factors listed in paragraph 9 may not be known until a matter has resolved or is close to finalisation, while ASIC </w:t>
      </w:r>
      <w:r>
        <w:rPr>
          <w:rFonts w:asciiTheme="majorHAnsi" w:hAnsiTheme="majorHAnsi" w:cstheme="majorHAnsi"/>
        </w:rPr>
        <w:t>will endeavour</w:t>
      </w:r>
      <w:r w:rsidRPr="000F7497">
        <w:rPr>
          <w:rFonts w:asciiTheme="majorHAnsi" w:hAnsiTheme="majorHAnsi" w:cstheme="majorHAnsi"/>
        </w:rPr>
        <w:t xml:space="preserve"> early in proceedings </w:t>
      </w:r>
      <w:r>
        <w:rPr>
          <w:rFonts w:asciiTheme="majorHAnsi" w:hAnsiTheme="majorHAnsi" w:cstheme="majorHAnsi"/>
        </w:rPr>
        <w:t xml:space="preserve">to </w:t>
      </w:r>
      <w:r w:rsidRPr="000F7497">
        <w:rPr>
          <w:rFonts w:asciiTheme="majorHAnsi" w:hAnsiTheme="majorHAnsi" w:cstheme="majorHAnsi"/>
        </w:rPr>
        <w:t xml:space="preserve">indicate </w:t>
      </w:r>
      <w:r>
        <w:rPr>
          <w:rFonts w:asciiTheme="majorHAnsi" w:hAnsiTheme="majorHAnsi" w:cstheme="majorHAnsi"/>
        </w:rPr>
        <w:t>its</w:t>
      </w:r>
      <w:r w:rsidRPr="000F7497">
        <w:rPr>
          <w:rFonts w:asciiTheme="majorHAnsi" w:hAnsiTheme="majorHAnsi" w:cstheme="majorHAnsi"/>
        </w:rPr>
        <w:t xml:space="preserve"> intention </w:t>
      </w:r>
      <w:r>
        <w:rPr>
          <w:rFonts w:asciiTheme="majorHAnsi" w:hAnsiTheme="majorHAnsi" w:cstheme="majorHAnsi"/>
        </w:rPr>
        <w:t>to</w:t>
      </w:r>
      <w:r w:rsidRPr="000F7497">
        <w:rPr>
          <w:rFonts w:asciiTheme="majorHAnsi" w:hAnsiTheme="majorHAnsi" w:cstheme="majorHAnsi"/>
        </w:rPr>
        <w:t xml:space="preserve"> seek a s 91 costs order, a final decision as to whether such an order may be sought and the </w:t>
      </w:r>
      <w:r>
        <w:rPr>
          <w:rFonts w:asciiTheme="majorHAnsi" w:hAnsiTheme="majorHAnsi" w:cstheme="majorHAnsi"/>
        </w:rPr>
        <w:t>quantum</w:t>
      </w:r>
      <w:r w:rsidRPr="000F7497">
        <w:rPr>
          <w:rFonts w:asciiTheme="majorHAnsi" w:hAnsiTheme="majorHAnsi" w:cstheme="majorHAnsi"/>
        </w:rPr>
        <w:t xml:space="preserve"> may not be determined until shortly before</w:t>
      </w:r>
      <w:r w:rsidR="00476E9C">
        <w:rPr>
          <w:rFonts w:asciiTheme="majorHAnsi" w:hAnsiTheme="majorHAnsi" w:cstheme="majorHAnsi"/>
        </w:rPr>
        <w:t xml:space="preserve"> (or even possibly even after)</w:t>
      </w:r>
      <w:r w:rsidRPr="000F7497">
        <w:rPr>
          <w:rFonts w:asciiTheme="majorHAnsi" w:hAnsiTheme="majorHAnsi" w:cstheme="majorHAnsi"/>
        </w:rPr>
        <w:t xml:space="preserve"> </w:t>
      </w:r>
      <w:r w:rsidR="00476E9C">
        <w:rPr>
          <w:rFonts w:asciiTheme="majorHAnsi" w:hAnsiTheme="majorHAnsi" w:cstheme="majorHAnsi"/>
        </w:rPr>
        <w:t xml:space="preserve">a plea of guilty is entered or </w:t>
      </w:r>
      <w:r w:rsidR="00F32816">
        <w:rPr>
          <w:rFonts w:asciiTheme="majorHAnsi" w:hAnsiTheme="majorHAnsi" w:cstheme="majorHAnsi"/>
        </w:rPr>
        <w:t xml:space="preserve">in some cases </w:t>
      </w:r>
      <w:r w:rsidR="00476E9C">
        <w:rPr>
          <w:rFonts w:asciiTheme="majorHAnsi" w:hAnsiTheme="majorHAnsi" w:cstheme="majorHAnsi"/>
        </w:rPr>
        <w:t>even possibly</w:t>
      </w:r>
      <w:r w:rsidRPr="000F7497">
        <w:rPr>
          <w:rFonts w:asciiTheme="majorHAnsi" w:hAnsiTheme="majorHAnsi" w:cstheme="majorHAnsi"/>
        </w:rPr>
        <w:t xml:space="preserve"> after a defendant’s conviction.</w:t>
      </w:r>
    </w:p>
    <w:p w14:paraId="656467D2" w14:textId="77777777" w:rsidR="00A4393B" w:rsidRPr="00A4393B" w:rsidRDefault="00A4393B" w:rsidP="00476E9C">
      <w:pPr>
        <w:jc w:val="both"/>
        <w:rPr>
          <w:rFonts w:cstheme="majorHAnsi"/>
        </w:rPr>
      </w:pPr>
    </w:p>
    <w:p w14:paraId="2F899C07" w14:textId="1E01AD8E" w:rsidR="00CA3508" w:rsidRDefault="00FD6270" w:rsidP="00D411D8">
      <w:pPr>
        <w:pStyle w:val="ListParagraph"/>
        <w:numPr>
          <w:ilvl w:val="0"/>
          <w:numId w:val="8"/>
        </w:numPr>
        <w:jc w:val="both"/>
        <w:rPr>
          <w:rFonts w:asciiTheme="majorHAnsi" w:hAnsiTheme="majorHAnsi" w:cstheme="majorHAnsi"/>
        </w:rPr>
      </w:pPr>
      <w:r>
        <w:rPr>
          <w:rFonts w:asciiTheme="majorHAnsi" w:hAnsiTheme="majorHAnsi" w:cstheme="majorHAnsi"/>
        </w:rPr>
        <w:t>I</w:t>
      </w:r>
      <w:r w:rsidR="00FB7D10">
        <w:rPr>
          <w:rFonts w:asciiTheme="majorHAnsi" w:hAnsiTheme="majorHAnsi" w:cstheme="majorHAnsi"/>
        </w:rPr>
        <w:t xml:space="preserve">n the absence of formal advice from ASIC about whether it intends to make a s 91 costs order at the time of </w:t>
      </w:r>
      <w:r w:rsidR="000F7497">
        <w:rPr>
          <w:rFonts w:asciiTheme="majorHAnsi" w:hAnsiTheme="majorHAnsi" w:cstheme="majorHAnsi"/>
        </w:rPr>
        <w:t>an approaching hearing date</w:t>
      </w:r>
      <w:r w:rsidR="00FB7D10">
        <w:rPr>
          <w:rFonts w:asciiTheme="majorHAnsi" w:hAnsiTheme="majorHAnsi" w:cstheme="majorHAnsi"/>
        </w:rPr>
        <w:t>, it</w:t>
      </w:r>
      <w:r>
        <w:rPr>
          <w:rFonts w:asciiTheme="majorHAnsi" w:hAnsiTheme="majorHAnsi" w:cstheme="majorHAnsi"/>
        </w:rPr>
        <w:t xml:space="preserve"> is advisable for CDPP case officers to seek instructions from ASIC about whether ASIC intends to make </w:t>
      </w:r>
      <w:r w:rsidR="00FB7D10">
        <w:rPr>
          <w:rFonts w:asciiTheme="majorHAnsi" w:hAnsiTheme="majorHAnsi" w:cstheme="majorHAnsi"/>
        </w:rPr>
        <w:t>such an order</w:t>
      </w:r>
      <w:r w:rsidR="00B854F1">
        <w:rPr>
          <w:rFonts w:asciiTheme="majorHAnsi" w:hAnsiTheme="majorHAnsi" w:cstheme="majorHAnsi"/>
        </w:rPr>
        <w:t>.</w:t>
      </w:r>
    </w:p>
    <w:p w14:paraId="4D339095" w14:textId="77777777" w:rsidR="00BA37A9" w:rsidRPr="00BA37A9" w:rsidRDefault="00BA37A9" w:rsidP="00BA37A9">
      <w:pPr>
        <w:jc w:val="both"/>
        <w:rPr>
          <w:rFonts w:cstheme="majorHAnsi"/>
        </w:rPr>
      </w:pPr>
    </w:p>
    <w:p w14:paraId="4E3E8E60" w14:textId="717575AB" w:rsidR="00CA3508" w:rsidRDefault="00CA3508" w:rsidP="00D411D8">
      <w:pPr>
        <w:pStyle w:val="ListParagraph"/>
        <w:numPr>
          <w:ilvl w:val="0"/>
          <w:numId w:val="8"/>
        </w:numPr>
        <w:jc w:val="both"/>
        <w:rPr>
          <w:rFonts w:asciiTheme="majorHAnsi" w:hAnsiTheme="majorHAnsi" w:cstheme="majorHAnsi"/>
        </w:rPr>
      </w:pPr>
      <w:r>
        <w:rPr>
          <w:rFonts w:asciiTheme="majorHAnsi" w:hAnsiTheme="majorHAnsi" w:cstheme="majorHAnsi"/>
        </w:rPr>
        <w:t xml:space="preserve">The CDPP will, </w:t>
      </w:r>
      <w:r w:rsidR="00B854F1">
        <w:rPr>
          <w:rFonts w:asciiTheme="majorHAnsi" w:hAnsiTheme="majorHAnsi" w:cstheme="majorHAnsi"/>
        </w:rPr>
        <w:t>as soon as it receives instructions from ASIC and well before</w:t>
      </w:r>
      <w:r>
        <w:rPr>
          <w:rFonts w:asciiTheme="majorHAnsi" w:hAnsiTheme="majorHAnsi" w:cstheme="majorHAnsi"/>
        </w:rPr>
        <w:t xml:space="preserve"> </w:t>
      </w:r>
      <w:r w:rsidR="00443CF5">
        <w:rPr>
          <w:rFonts w:asciiTheme="majorHAnsi" w:hAnsiTheme="majorHAnsi" w:cstheme="majorHAnsi"/>
        </w:rPr>
        <w:t xml:space="preserve">any </w:t>
      </w:r>
      <w:r>
        <w:rPr>
          <w:rFonts w:asciiTheme="majorHAnsi" w:hAnsiTheme="majorHAnsi" w:cstheme="majorHAnsi"/>
        </w:rPr>
        <w:t>sentencing hearing</w:t>
      </w:r>
      <w:r w:rsidR="00B854F1">
        <w:rPr>
          <w:rFonts w:asciiTheme="majorHAnsi" w:hAnsiTheme="majorHAnsi" w:cstheme="majorHAnsi"/>
        </w:rPr>
        <w:t>,</w:t>
      </w:r>
      <w:r>
        <w:rPr>
          <w:rFonts w:asciiTheme="majorHAnsi" w:hAnsiTheme="majorHAnsi" w:cstheme="majorHAnsi"/>
        </w:rPr>
        <w:t xml:space="preserve"> formally advise the solicitors acting for the defendant of ASIC’s intention to make a s 91 order</w:t>
      </w:r>
      <w:r w:rsidR="009C5CEA">
        <w:rPr>
          <w:rFonts w:asciiTheme="majorHAnsi" w:hAnsiTheme="majorHAnsi" w:cstheme="majorHAnsi"/>
        </w:rPr>
        <w:t>.</w:t>
      </w:r>
    </w:p>
    <w:p w14:paraId="50E8E871" w14:textId="77777777" w:rsidR="00BA37A9" w:rsidRPr="00BA37A9" w:rsidRDefault="00BA37A9" w:rsidP="00BA37A9">
      <w:pPr>
        <w:jc w:val="both"/>
        <w:rPr>
          <w:rFonts w:cstheme="majorHAnsi"/>
        </w:rPr>
      </w:pPr>
    </w:p>
    <w:p w14:paraId="122A22A7" w14:textId="77777777" w:rsidR="00380C51" w:rsidRDefault="00CA3508" w:rsidP="00D411D8">
      <w:pPr>
        <w:pStyle w:val="ListParagraph"/>
        <w:numPr>
          <w:ilvl w:val="0"/>
          <w:numId w:val="8"/>
        </w:numPr>
        <w:jc w:val="both"/>
        <w:rPr>
          <w:rFonts w:asciiTheme="majorHAnsi" w:hAnsiTheme="majorHAnsi" w:cstheme="majorHAnsi"/>
        </w:rPr>
      </w:pPr>
      <w:r>
        <w:rPr>
          <w:rFonts w:asciiTheme="majorHAnsi" w:hAnsiTheme="majorHAnsi" w:cstheme="majorHAnsi"/>
        </w:rPr>
        <w:t>The CDPP will also inform the sentencing judge/magistrate of the proposed order at the time of the sentencing hearing.</w:t>
      </w:r>
    </w:p>
    <w:p w14:paraId="75800DD9" w14:textId="77777777" w:rsidR="00BA37A9" w:rsidRPr="00BA37A9" w:rsidRDefault="00BA37A9" w:rsidP="00BA37A9">
      <w:pPr>
        <w:rPr>
          <w:rFonts w:cstheme="majorHAnsi"/>
        </w:rPr>
      </w:pPr>
    </w:p>
    <w:p w14:paraId="4CA02BFA" w14:textId="407ACAF1" w:rsidR="00CA78BB" w:rsidRDefault="00CA78BB" w:rsidP="00D411D8">
      <w:pPr>
        <w:pStyle w:val="ListParagraph"/>
        <w:numPr>
          <w:ilvl w:val="0"/>
          <w:numId w:val="8"/>
        </w:numPr>
        <w:jc w:val="both"/>
        <w:rPr>
          <w:rFonts w:asciiTheme="majorHAnsi" w:hAnsiTheme="majorHAnsi" w:cstheme="majorHAnsi"/>
        </w:rPr>
      </w:pPr>
      <w:r>
        <w:rPr>
          <w:rFonts w:asciiTheme="majorHAnsi" w:hAnsiTheme="majorHAnsi" w:cstheme="majorHAnsi"/>
        </w:rPr>
        <w:t xml:space="preserve">The </w:t>
      </w:r>
      <w:r w:rsidR="00BA37A9">
        <w:rPr>
          <w:rFonts w:asciiTheme="majorHAnsi" w:hAnsiTheme="majorHAnsi" w:cstheme="majorHAnsi"/>
        </w:rPr>
        <w:t xml:space="preserve">possibility </w:t>
      </w:r>
      <w:r>
        <w:rPr>
          <w:rFonts w:asciiTheme="majorHAnsi" w:hAnsiTheme="majorHAnsi" w:cstheme="majorHAnsi"/>
        </w:rPr>
        <w:t xml:space="preserve">of ASIC making a s 91 order </w:t>
      </w:r>
      <w:r w:rsidR="00BA37A9">
        <w:rPr>
          <w:rFonts w:asciiTheme="majorHAnsi" w:hAnsiTheme="majorHAnsi" w:cstheme="majorHAnsi"/>
        </w:rPr>
        <w:t xml:space="preserve">in the event that a conviction is recorded by the court </w:t>
      </w:r>
      <w:r w:rsidR="009C5CEA">
        <w:rPr>
          <w:rFonts w:asciiTheme="majorHAnsi" w:hAnsiTheme="majorHAnsi" w:cstheme="majorHAnsi"/>
        </w:rPr>
        <w:t>may</w:t>
      </w:r>
      <w:r>
        <w:rPr>
          <w:rFonts w:asciiTheme="majorHAnsi" w:hAnsiTheme="majorHAnsi" w:cstheme="majorHAnsi"/>
        </w:rPr>
        <w:t xml:space="preserve"> be regarded by a sentencing court as a mitigating factor. While this question has not yet arisen for consideration by an appellate court in Australia, the following comments by Judge Blackmore</w:t>
      </w:r>
      <w:r w:rsidR="00A9317A">
        <w:rPr>
          <w:rFonts w:asciiTheme="majorHAnsi" w:hAnsiTheme="majorHAnsi" w:cstheme="majorHAnsi"/>
        </w:rPr>
        <w:t xml:space="preserve"> SC</w:t>
      </w:r>
      <w:r>
        <w:rPr>
          <w:rFonts w:asciiTheme="majorHAnsi" w:hAnsiTheme="majorHAnsi" w:cstheme="majorHAnsi"/>
        </w:rPr>
        <w:t xml:space="preserve"> of the NSW District Court, when sentencing </w:t>
      </w:r>
      <w:r w:rsidRPr="00BA37A9">
        <w:rPr>
          <w:rFonts w:asciiTheme="majorHAnsi" w:hAnsiTheme="majorHAnsi" w:cstheme="majorHAnsi"/>
          <w:i/>
        </w:rPr>
        <w:t xml:space="preserve">John Lindsay </w:t>
      </w:r>
      <w:proofErr w:type="spellStart"/>
      <w:r w:rsidRPr="00BA37A9">
        <w:rPr>
          <w:rFonts w:asciiTheme="majorHAnsi" w:hAnsiTheme="majorHAnsi" w:cstheme="majorHAnsi"/>
          <w:i/>
        </w:rPr>
        <w:t>Merity</w:t>
      </w:r>
      <w:proofErr w:type="spellEnd"/>
      <w:r>
        <w:rPr>
          <w:rFonts w:asciiTheme="majorHAnsi" w:hAnsiTheme="majorHAnsi" w:cstheme="majorHAnsi"/>
        </w:rPr>
        <w:t xml:space="preserve"> on 14 February 2020 for breaches of section 1308(2) of the </w:t>
      </w:r>
      <w:r w:rsidRPr="00172782">
        <w:rPr>
          <w:rFonts w:asciiTheme="majorHAnsi" w:hAnsiTheme="majorHAnsi" w:cstheme="majorHAnsi"/>
          <w:i/>
        </w:rPr>
        <w:t>Corporations Act</w:t>
      </w:r>
      <w:r>
        <w:rPr>
          <w:rFonts w:asciiTheme="majorHAnsi" w:hAnsiTheme="majorHAnsi" w:cstheme="majorHAnsi"/>
        </w:rPr>
        <w:t>, provide a good indication of how sentencing courts are likely to view this factor:</w:t>
      </w:r>
    </w:p>
    <w:p w14:paraId="37C3F042" w14:textId="77777777" w:rsidR="00CA78BB" w:rsidRPr="00CA78BB" w:rsidRDefault="00CA78BB" w:rsidP="00CA78BB">
      <w:pPr>
        <w:spacing w:after="0"/>
        <w:jc w:val="both"/>
        <w:rPr>
          <w:rFonts w:cstheme="majorHAnsi"/>
        </w:rPr>
      </w:pPr>
    </w:p>
    <w:p w14:paraId="72E4F707" w14:textId="07AB768F" w:rsidR="00CA78BB" w:rsidRDefault="00CA78BB" w:rsidP="00CA78BB">
      <w:pPr>
        <w:ind w:left="720"/>
        <w:jc w:val="both"/>
        <w:rPr>
          <w:rFonts w:cstheme="majorHAnsi"/>
          <w:i/>
        </w:rPr>
      </w:pPr>
      <w:r w:rsidRPr="00CA78BB">
        <w:rPr>
          <w:rFonts w:cstheme="majorHAnsi"/>
          <w:i/>
        </w:rPr>
        <w:t xml:space="preserve">A matter of perhaps more significance is the fact that ASIC intends to recover the cost of their investigation from the offender.  To date he has not been asked to pay any money. It may be that he will not be required to refund any money but the prospect of repayment continues.  It is perhaps best regarded as an additional factor of stress that does not apply to the average offender.  I </w:t>
      </w:r>
      <w:proofErr w:type="spellStart"/>
      <w:r w:rsidRPr="00CA78BB">
        <w:rPr>
          <w:rFonts w:cstheme="majorHAnsi"/>
          <w:i/>
        </w:rPr>
        <w:t>recognise</w:t>
      </w:r>
      <w:proofErr w:type="spellEnd"/>
      <w:r w:rsidRPr="00CA78BB">
        <w:rPr>
          <w:rFonts w:cstheme="majorHAnsi"/>
          <w:i/>
        </w:rPr>
        <w:t xml:space="preserve"> the prospect of repayment in that way, that is as an additional stress for the offender and I will mitigate the sentence to be applied, although again such mitigation might only be relatively modest.</w:t>
      </w:r>
    </w:p>
    <w:p w14:paraId="56AE2BA4" w14:textId="68FB6C55" w:rsidR="00B854F1" w:rsidRDefault="00B854F1" w:rsidP="00B854F1">
      <w:pPr>
        <w:pStyle w:val="ListParagraph"/>
        <w:numPr>
          <w:ilvl w:val="0"/>
          <w:numId w:val="8"/>
        </w:numPr>
        <w:jc w:val="both"/>
        <w:rPr>
          <w:rFonts w:asciiTheme="majorHAnsi" w:hAnsiTheme="majorHAnsi" w:cstheme="majorHAnsi"/>
        </w:rPr>
      </w:pPr>
      <w:r>
        <w:rPr>
          <w:rFonts w:asciiTheme="majorHAnsi" w:hAnsiTheme="majorHAnsi" w:cstheme="majorHAnsi"/>
        </w:rPr>
        <w:t xml:space="preserve">CDPP case officers should formally advise the CFC Practice Group Coordinator of the details of any </w:t>
      </w:r>
      <w:r w:rsidR="00325891">
        <w:rPr>
          <w:rFonts w:asciiTheme="majorHAnsi" w:hAnsiTheme="majorHAnsi" w:cstheme="majorHAnsi"/>
        </w:rPr>
        <w:t>matters</w:t>
      </w:r>
      <w:r>
        <w:rPr>
          <w:rFonts w:asciiTheme="majorHAnsi" w:hAnsiTheme="majorHAnsi" w:cstheme="majorHAnsi"/>
        </w:rPr>
        <w:t xml:space="preserve"> where the sentencing Judge/Magistrate refers to the likelihood of ASIC making a s 91 order as a factor in sentencing.  </w:t>
      </w:r>
    </w:p>
    <w:p w14:paraId="57EFF7C8" w14:textId="68C4AB1F" w:rsidR="00B854F1" w:rsidRPr="00CA78BB" w:rsidRDefault="00B854F1" w:rsidP="00476E9C">
      <w:pPr>
        <w:jc w:val="both"/>
        <w:rPr>
          <w:rFonts w:cstheme="majorHAnsi"/>
          <w:i/>
        </w:rPr>
      </w:pPr>
    </w:p>
    <w:p w14:paraId="0EEA739A" w14:textId="226F589B" w:rsidR="00D411D8" w:rsidRDefault="00F32816" w:rsidP="00D411D8">
      <w:pPr>
        <w:rPr>
          <w:b/>
          <w:lang w:eastAsia="en-AU"/>
        </w:rPr>
      </w:pPr>
      <w:r>
        <w:rPr>
          <w:noProof/>
          <w:lang w:val="en-AU" w:eastAsia="en-AU"/>
        </w:rPr>
        <w:drawing>
          <wp:inline distT="0" distB="0" distL="0" distR="0" wp14:anchorId="6DA3BB3E" wp14:editId="3D5326FF">
            <wp:extent cx="1028571" cy="533333"/>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8571" cy="533333"/>
                    </a:xfrm>
                    <a:prstGeom prst="rect">
                      <a:avLst/>
                    </a:prstGeom>
                  </pic:spPr>
                </pic:pic>
              </a:graphicData>
            </a:graphic>
          </wp:inline>
        </w:drawing>
      </w:r>
    </w:p>
    <w:p w14:paraId="5361917E" w14:textId="77777777" w:rsidR="00BA37A9" w:rsidRDefault="00BA37A9" w:rsidP="00D411D8">
      <w:pPr>
        <w:rPr>
          <w:b/>
          <w:lang w:eastAsia="en-AU"/>
        </w:rPr>
      </w:pPr>
    </w:p>
    <w:p w14:paraId="6117719A" w14:textId="77777777" w:rsidR="00A9317A" w:rsidRDefault="00D411D8" w:rsidP="00D411D8">
      <w:pPr>
        <w:rPr>
          <w:lang w:val="en-AU" w:eastAsia="en-AU"/>
        </w:rPr>
      </w:pPr>
      <w:r>
        <w:rPr>
          <w:lang w:val="en-AU" w:eastAsia="en-AU"/>
        </w:rPr>
        <w:t>Berdj Tchakerian</w:t>
      </w:r>
      <w:r>
        <w:rPr>
          <w:lang w:val="en-AU" w:eastAsia="en-AU"/>
        </w:rPr>
        <w:br/>
      </w:r>
      <w:r w:rsidRPr="001A7100">
        <w:rPr>
          <w:lang w:val="en-AU" w:eastAsia="en-AU"/>
        </w:rPr>
        <w:t>Deputy Director, Commercial, Financial and Corruption</w:t>
      </w:r>
    </w:p>
    <w:p w14:paraId="5B6E1130" w14:textId="5861A794" w:rsidR="00D411D8" w:rsidRDefault="00D411D8" w:rsidP="00D411D8">
      <w:pPr>
        <w:rPr>
          <w:lang w:val="en-AU" w:eastAsia="en-AU"/>
        </w:rPr>
      </w:pPr>
      <w:r w:rsidRPr="001A7100">
        <w:rPr>
          <w:lang w:val="en-AU" w:eastAsia="en-AU"/>
        </w:rPr>
        <w:br/>
      </w:r>
      <w:r w:rsidR="00F32816" w:rsidRPr="00F32816">
        <w:rPr>
          <w:lang w:val="en-AU" w:eastAsia="en-AU"/>
        </w:rPr>
        <w:t xml:space="preserve">20 </w:t>
      </w:r>
      <w:r w:rsidR="000F7497" w:rsidRPr="00F32816">
        <w:rPr>
          <w:lang w:val="en-AU" w:eastAsia="en-AU"/>
        </w:rPr>
        <w:t xml:space="preserve">July </w:t>
      </w:r>
      <w:r w:rsidR="00CA78BB" w:rsidRPr="00F32816">
        <w:rPr>
          <w:lang w:val="en-AU" w:eastAsia="en-AU"/>
        </w:rPr>
        <w:t>2020</w:t>
      </w:r>
    </w:p>
    <w:p w14:paraId="28963C06" w14:textId="60F3AB10" w:rsidR="00D411D8" w:rsidRDefault="00D411D8" w:rsidP="00CC03FB"/>
    <w:sectPr w:rsidR="00D411D8" w:rsidSect="00464147">
      <w:headerReference w:type="default" r:id="rId10"/>
      <w:footerReference w:type="even" r:id="rId11"/>
      <w:footerReference w:type="default" r:id="rId12"/>
      <w:headerReference w:type="first" r:id="rId13"/>
      <w:pgSz w:w="11900" w:h="16840"/>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4CA90" w16cid:durableId="227133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3437" w14:textId="77777777" w:rsidR="009B0C96" w:rsidRDefault="009B0C96" w:rsidP="007C2B63">
      <w:pPr>
        <w:spacing w:after="0"/>
      </w:pPr>
      <w:r>
        <w:separator/>
      </w:r>
    </w:p>
  </w:endnote>
  <w:endnote w:type="continuationSeparator" w:id="0">
    <w:p w14:paraId="7E68B505" w14:textId="77777777" w:rsidR="009B0C96" w:rsidRDefault="009B0C96" w:rsidP="007C2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F341" w14:textId="77777777" w:rsidR="009B0C96" w:rsidRDefault="009B0C96" w:rsidP="006F0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EF741" w14:textId="77777777" w:rsidR="009B0C96" w:rsidRDefault="009B0C96" w:rsidP="004B06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C3C3" w14:textId="4C3178C5" w:rsidR="009B0C96" w:rsidRDefault="009B0C96" w:rsidP="006F0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97C">
      <w:rPr>
        <w:rStyle w:val="PageNumber"/>
        <w:noProof/>
      </w:rPr>
      <w:t>4</w:t>
    </w:r>
    <w:r>
      <w:rPr>
        <w:rStyle w:val="PageNumber"/>
      </w:rPr>
      <w:fldChar w:fldCharType="end"/>
    </w:r>
  </w:p>
  <w:p w14:paraId="5A89E6FB" w14:textId="77777777" w:rsidR="009B0C96" w:rsidRDefault="009B0C96" w:rsidP="004B06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3B6C" w14:textId="77777777" w:rsidR="009B0C96" w:rsidRDefault="009B0C96" w:rsidP="007C2B63">
      <w:pPr>
        <w:spacing w:after="0"/>
      </w:pPr>
      <w:r>
        <w:separator/>
      </w:r>
    </w:p>
  </w:footnote>
  <w:footnote w:type="continuationSeparator" w:id="0">
    <w:p w14:paraId="7798279D" w14:textId="77777777" w:rsidR="009B0C96" w:rsidRDefault="009B0C96" w:rsidP="007C2B63">
      <w:pPr>
        <w:spacing w:after="0"/>
      </w:pPr>
      <w:r>
        <w:continuationSeparator/>
      </w:r>
    </w:p>
  </w:footnote>
  <w:footnote w:id="1">
    <w:p w14:paraId="7A137A04" w14:textId="77777777" w:rsidR="00901B50" w:rsidRPr="00901B50" w:rsidRDefault="00901B50" w:rsidP="00901B50">
      <w:pPr>
        <w:rPr>
          <w:sz w:val="18"/>
          <w:szCs w:val="18"/>
        </w:rPr>
      </w:pPr>
      <w:r>
        <w:rPr>
          <w:rStyle w:val="FootnoteReference"/>
        </w:rPr>
        <w:footnoteRef/>
      </w:r>
      <w:r>
        <w:t xml:space="preserve"> </w:t>
      </w:r>
      <w:r w:rsidRPr="00901B50">
        <w:rPr>
          <w:sz w:val="18"/>
          <w:szCs w:val="18"/>
        </w:rPr>
        <w:t xml:space="preserve">ASIC’s official position on the Recovery of investigation expenses and costs is contained in information sheet (INFO 204), published on its website - </w:t>
      </w:r>
      <w:hyperlink r:id="rId1" w:history="1">
        <w:r w:rsidRPr="00901B50">
          <w:rPr>
            <w:rStyle w:val="Hyperlink"/>
            <w:rFonts w:asciiTheme="majorHAnsi" w:hAnsiTheme="majorHAnsi"/>
            <w:sz w:val="18"/>
            <w:szCs w:val="18"/>
          </w:rPr>
          <w:t>https://asic.gov.au/about-asic/asic-investigations-and-enforcement/recovery-of-investigation-expenses-and-costs/</w:t>
        </w:r>
      </w:hyperlink>
      <w:r w:rsidRPr="00901B50">
        <w:rPr>
          <w:sz w:val="18"/>
          <w:szCs w:val="18"/>
        </w:rPr>
        <w:t xml:space="preserve"> </w:t>
      </w:r>
    </w:p>
    <w:p w14:paraId="583CDD7E" w14:textId="77777777" w:rsidR="00901B50" w:rsidRPr="00901B50" w:rsidRDefault="00901B5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97BA" w14:textId="40AAA18D" w:rsidR="009B0C96" w:rsidRPr="0094103E" w:rsidRDefault="009B0C96" w:rsidP="0094103E">
    <w:pPr>
      <w:jc w:val="right"/>
      <w:rPr>
        <w:color w:val="00B2DD"/>
      </w:rPr>
    </w:pPr>
    <w:r>
      <w:rPr>
        <w:b/>
        <w:color w:val="000000" w:themeColor="text1"/>
        <w:sz w:val="24"/>
        <w:szCs w:val="24"/>
      </w:rPr>
      <w:t>Practice Group Instructions</w:t>
    </w:r>
    <w:r>
      <w:rPr>
        <w:b/>
        <w:color w:val="000000" w:themeColor="text1"/>
        <w:sz w:val="24"/>
        <w:szCs w:val="24"/>
      </w:rPr>
      <w:br/>
      <w:t>Commercial, Financial and Corruption</w:t>
    </w:r>
    <w:r>
      <w:rPr>
        <w:b/>
        <w:color w:val="000000" w:themeColor="text1"/>
        <w:sz w:val="24"/>
        <w:szCs w:val="24"/>
      </w:rPr>
      <w:br/>
    </w:r>
    <w:r>
      <w:rPr>
        <w:b/>
        <w:color w:val="000000" w:themeColor="text1"/>
        <w:sz w:val="24"/>
        <w:szCs w:val="24"/>
      </w:rPr>
      <w:br/>
    </w:r>
    <w:r w:rsidR="00553B79" w:rsidRPr="00553B79">
      <w:rPr>
        <w:color w:val="00B2DD"/>
      </w:rPr>
      <w:t>Recovery of expenses of investigation – section 91 ASIC Act 2001</w:t>
    </w:r>
  </w:p>
  <w:p w14:paraId="21EC5E50" w14:textId="77777777" w:rsidR="009B0C96" w:rsidRDefault="009B0C96">
    <w:pPr>
      <w:pStyle w:val="Header"/>
    </w:pPr>
    <w:r>
      <w:rPr>
        <w:noProof/>
        <w:lang w:val="en-AU" w:eastAsia="en-AU"/>
      </w:rPr>
      <mc:AlternateContent>
        <mc:Choice Requires="wps">
          <w:drawing>
            <wp:anchor distT="0" distB="0" distL="114300" distR="114300" simplePos="0" relativeHeight="251656192" behindDoc="0" locked="0" layoutInCell="1" allowOverlap="1" wp14:anchorId="09C10096" wp14:editId="4C40360F">
              <wp:simplePos x="0" y="0"/>
              <wp:positionH relativeFrom="column">
                <wp:posOffset>-247650</wp:posOffset>
              </wp:positionH>
              <wp:positionV relativeFrom="paragraph">
                <wp:posOffset>10160</wp:posOffset>
              </wp:positionV>
              <wp:extent cx="6499860" cy="0"/>
              <wp:effectExtent l="0" t="0" r="15240" b="19050"/>
              <wp:wrapNone/>
              <wp:docPr id="3" name="Straight Connector 3"/>
              <wp:cNvGraphicFramePr/>
              <a:graphic xmlns:a="http://schemas.openxmlformats.org/drawingml/2006/main">
                <a:graphicData uri="http://schemas.microsoft.com/office/word/2010/wordprocessingShape">
                  <wps:wsp>
                    <wps:cNvCnPr/>
                    <wps:spPr>
                      <a:xfrm flipH="1">
                        <a:off x="0" y="0"/>
                        <a:ext cx="6499860" cy="0"/>
                      </a:xfrm>
                      <a:prstGeom prst="line">
                        <a:avLst/>
                      </a:prstGeom>
                      <a:ln w="12700">
                        <a:solidFill>
                          <a:srgbClr val="00B2D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C6DD0F" id="Straight Connector 3"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pt" to="49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" strokecolor="#00b2dd"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986D" w14:textId="5BFC20E6" w:rsidR="009B0C96" w:rsidRDefault="009B0C96">
    <w:pPr>
      <w:pStyle w:val="Header"/>
    </w:pPr>
    <w:r>
      <w:rPr>
        <w:noProof/>
        <w:lang w:val="en-AU" w:eastAsia="en-AU"/>
      </w:rPr>
      <w:drawing>
        <wp:anchor distT="0" distB="0" distL="114300" distR="114300" simplePos="0" relativeHeight="251659264" behindDoc="1" locked="0" layoutInCell="1" allowOverlap="1" wp14:anchorId="3FE568C9" wp14:editId="5EF1B757">
          <wp:simplePos x="0" y="0"/>
          <wp:positionH relativeFrom="column">
            <wp:posOffset>-730250</wp:posOffset>
          </wp:positionH>
          <wp:positionV relativeFrom="page">
            <wp:posOffset>3174</wp:posOffset>
          </wp:positionV>
          <wp:extent cx="7579360" cy="1397523"/>
          <wp:effectExtent l="0" t="0" r="0" b="0"/>
          <wp:wrapNone/>
          <wp:docPr id="2" name="Picture 2" descr="Macintosh HD 2:CDPP: 0128_Fact sheet templates:Light blue:0128_Fact sheet templates_v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CDPP: 0128_Fact sheet templates:Light blue:0128_Fact sheet templates_v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397523"/>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B6D6DC76"/>
    <w:styleLink w:val="Numberedlist"/>
    <w:lvl w:ilvl="0">
      <w:start w:val="1"/>
      <w:numFmt w:val="decimal"/>
      <w:pStyle w:val="NumberedList1"/>
      <w:lvlText w:val="%1."/>
      <w:lvlJc w:val="left"/>
      <w:pPr>
        <w:ind w:left="284" w:hanging="284"/>
      </w:pPr>
      <w:rPr>
        <w:rFonts w:hint="default"/>
        <w:b/>
      </w:rPr>
    </w:lvl>
    <w:lvl w:ilvl="1">
      <w:start w:val="1"/>
      <w:numFmt w:val="decimal"/>
      <w:pStyle w:val="NumberedList2"/>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90DF8"/>
    <w:multiLevelType w:val="multilevel"/>
    <w:tmpl w:val="58262B4A"/>
    <w:numStyleLink w:val="AlphaLists"/>
  </w:abstractNum>
  <w:abstractNum w:abstractNumId="3" w15:restartNumberingAfterBreak="0">
    <w:nsid w:val="24674506"/>
    <w:multiLevelType w:val="multilevel"/>
    <w:tmpl w:val="B6D6DC76"/>
    <w:numStyleLink w:val="Numberedlist"/>
  </w:abstractNum>
  <w:abstractNum w:abstractNumId="4" w15:restartNumberingAfterBreak="0">
    <w:nsid w:val="25171B7A"/>
    <w:multiLevelType w:val="multilevel"/>
    <w:tmpl w:val="58262B4A"/>
    <w:styleLink w:val="AlphaLists"/>
    <w:lvl w:ilvl="0">
      <w:start w:val="1"/>
      <w:numFmt w:val="upperLetter"/>
      <w:pStyle w:val="AlphaList1"/>
      <w:lvlText w:val="%1."/>
      <w:lvlJc w:val="left"/>
      <w:pPr>
        <w:ind w:left="284" w:hanging="284"/>
      </w:pPr>
      <w:rPr>
        <w:rFonts w:hint="default"/>
        <w:b/>
      </w:rPr>
    </w:lvl>
    <w:lvl w:ilvl="1">
      <w:start w:val="1"/>
      <w:numFmt w:val="lowerLetter"/>
      <w:pStyle w:val="AlphaList2"/>
      <w:lvlText w:val="%2."/>
      <w:lvlJc w:val="left"/>
      <w:pPr>
        <w:ind w:left="851" w:hanging="284"/>
      </w:pPr>
      <w:rPr>
        <w:rFonts w:hint="default"/>
        <w:b/>
      </w:rPr>
    </w:lvl>
    <w:lvl w:ilvl="2">
      <w:start w:val="1"/>
      <w:numFmt w:val="lowerLetter"/>
      <w:pStyle w:val="AlphaList3"/>
      <w:lvlText w:val="(%3)"/>
      <w:lvlJc w:val="left"/>
      <w:pPr>
        <w:ind w:left="1418" w:hanging="28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7232D7"/>
    <w:multiLevelType w:val="hybridMultilevel"/>
    <w:tmpl w:val="2382A13A"/>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E9A34A0"/>
    <w:multiLevelType w:val="multilevel"/>
    <w:tmpl w:val="C3587BC8"/>
    <w:numStyleLink w:val="BulletsList"/>
  </w:abstractNum>
  <w:abstractNum w:abstractNumId="7" w15:restartNumberingAfterBreak="0">
    <w:nsid w:val="59C40519"/>
    <w:multiLevelType w:val="hybridMultilevel"/>
    <w:tmpl w:val="6226CCC8"/>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D7A66B9"/>
    <w:multiLevelType w:val="hybridMultilevel"/>
    <w:tmpl w:val="0220F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3107305"/>
    <w:multiLevelType w:val="multilevel"/>
    <w:tmpl w:val="C3587BC8"/>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851" w:hanging="284"/>
      </w:pPr>
      <w:rPr>
        <w:rFonts w:ascii="Symbol" w:hAnsi="Symbol" w:hint="default"/>
      </w:rPr>
    </w:lvl>
    <w:lvl w:ilvl="2">
      <w:start w:val="1"/>
      <w:numFmt w:val="bullet"/>
      <w:pStyle w:val="Bullet3"/>
      <w:lvlText w:val="–"/>
      <w:lvlJc w:val="left"/>
      <w:pPr>
        <w:ind w:left="1418"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5A4501"/>
    <w:multiLevelType w:val="hybridMultilevel"/>
    <w:tmpl w:val="90E8891A"/>
    <w:lvl w:ilvl="0" w:tplc="1C985716">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4"/>
  </w:num>
  <w:num w:numId="5">
    <w:abstractNumId w:val="2"/>
  </w:num>
  <w:num w:numId="6">
    <w:abstractNumId w:val="6"/>
  </w:num>
  <w:num w:numId="7">
    <w:abstractNumId w:val="1"/>
  </w:num>
  <w:num w:numId="8">
    <w:abstractNumId w:val="10"/>
  </w:num>
  <w:num w:numId="9">
    <w:abstractNumId w:val="1"/>
  </w:num>
  <w:num w:numId="10">
    <w:abstractNumId w:val="5"/>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F6"/>
    <w:rsid w:val="000650D4"/>
    <w:rsid w:val="000B4BED"/>
    <w:rsid w:val="000F282B"/>
    <w:rsid w:val="000F454B"/>
    <w:rsid w:val="000F7497"/>
    <w:rsid w:val="00172782"/>
    <w:rsid w:val="001D0245"/>
    <w:rsid w:val="0026140C"/>
    <w:rsid w:val="002622CC"/>
    <w:rsid w:val="00325891"/>
    <w:rsid w:val="003319CD"/>
    <w:rsid w:val="00354997"/>
    <w:rsid w:val="00380C51"/>
    <w:rsid w:val="003C1B8E"/>
    <w:rsid w:val="003D0377"/>
    <w:rsid w:val="00443CF5"/>
    <w:rsid w:val="004534E1"/>
    <w:rsid w:val="00464147"/>
    <w:rsid w:val="00476E9C"/>
    <w:rsid w:val="00483EA8"/>
    <w:rsid w:val="004B0600"/>
    <w:rsid w:val="004D53D4"/>
    <w:rsid w:val="00553B79"/>
    <w:rsid w:val="00596872"/>
    <w:rsid w:val="005E79C7"/>
    <w:rsid w:val="0065313A"/>
    <w:rsid w:val="006F0ACC"/>
    <w:rsid w:val="007B6A0D"/>
    <w:rsid w:val="007C2B63"/>
    <w:rsid w:val="00877DC8"/>
    <w:rsid w:val="00901B50"/>
    <w:rsid w:val="00937423"/>
    <w:rsid w:val="0094103E"/>
    <w:rsid w:val="009410FA"/>
    <w:rsid w:val="00957888"/>
    <w:rsid w:val="009B0C96"/>
    <w:rsid w:val="009C5CEA"/>
    <w:rsid w:val="00A4393B"/>
    <w:rsid w:val="00A9317A"/>
    <w:rsid w:val="00B04DFA"/>
    <w:rsid w:val="00B060E4"/>
    <w:rsid w:val="00B67C02"/>
    <w:rsid w:val="00B854F1"/>
    <w:rsid w:val="00BA37A9"/>
    <w:rsid w:val="00C1697C"/>
    <w:rsid w:val="00CA3508"/>
    <w:rsid w:val="00CA78BB"/>
    <w:rsid w:val="00CC03FB"/>
    <w:rsid w:val="00D411D8"/>
    <w:rsid w:val="00D41CF6"/>
    <w:rsid w:val="00F32816"/>
    <w:rsid w:val="00F52CF7"/>
    <w:rsid w:val="00F651B7"/>
    <w:rsid w:val="00FA771C"/>
    <w:rsid w:val="00FB7D10"/>
    <w:rsid w:val="00FD197C"/>
    <w:rsid w:val="00FD6270"/>
    <w:rsid w:val="00FF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D74FB73"/>
  <w14:defaultImageDpi w14:val="300"/>
  <w15:docId w15:val="{7074058E-C86F-482B-BBEB-80605166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50"/>
    <w:pPr>
      <w:spacing w:after="180"/>
    </w:pPr>
    <w:rPr>
      <w:rFonts w:asciiTheme="majorHAnsi" w:hAnsiTheme="majorHAnsi"/>
      <w:sz w:val="22"/>
      <w:szCs w:val="22"/>
    </w:rPr>
  </w:style>
  <w:style w:type="paragraph" w:styleId="Heading2">
    <w:name w:val="heading 2"/>
    <w:basedOn w:val="Normal"/>
    <w:next w:val="Normal"/>
    <w:link w:val="Heading2Char"/>
    <w:uiPriority w:val="9"/>
    <w:unhideWhenUsed/>
    <w:qFormat/>
    <w:rsid w:val="00CC03FB"/>
    <w:pPr>
      <w:keepLines/>
      <w:suppressAutoHyphens/>
      <w:spacing w:before="240" w:after="100" w:line="260" w:lineRule="atLeast"/>
      <w:contextualSpacing/>
      <w:outlineLvl w:val="1"/>
    </w:pPr>
    <w:rPr>
      <w:rFonts w:ascii="Calibri" w:eastAsiaTheme="majorEastAsia" w:hAnsi="Calibri" w:cstheme="majorBidi"/>
      <w:b/>
      <w:bCs/>
      <w:color w:val="94724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B63"/>
    <w:rPr>
      <w:rFonts w:ascii="Lucida Grande" w:hAnsi="Lucida Grande" w:cs="Lucida Grande"/>
      <w:sz w:val="18"/>
      <w:szCs w:val="18"/>
    </w:rPr>
  </w:style>
  <w:style w:type="paragraph" w:styleId="Header">
    <w:name w:val="header"/>
    <w:basedOn w:val="Normal"/>
    <w:link w:val="HeaderChar"/>
    <w:uiPriority w:val="99"/>
    <w:unhideWhenUsed/>
    <w:rsid w:val="007C2B63"/>
    <w:pPr>
      <w:tabs>
        <w:tab w:val="center" w:pos="4320"/>
        <w:tab w:val="right" w:pos="8640"/>
      </w:tabs>
    </w:pPr>
  </w:style>
  <w:style w:type="character" w:customStyle="1" w:styleId="HeaderChar">
    <w:name w:val="Header Char"/>
    <w:basedOn w:val="DefaultParagraphFont"/>
    <w:link w:val="Header"/>
    <w:uiPriority w:val="99"/>
    <w:rsid w:val="007C2B63"/>
  </w:style>
  <w:style w:type="paragraph" w:styleId="Footer">
    <w:name w:val="footer"/>
    <w:basedOn w:val="Normal"/>
    <w:link w:val="FooterChar"/>
    <w:uiPriority w:val="99"/>
    <w:unhideWhenUsed/>
    <w:rsid w:val="007C2B63"/>
    <w:pPr>
      <w:tabs>
        <w:tab w:val="center" w:pos="4320"/>
        <w:tab w:val="right" w:pos="8640"/>
      </w:tabs>
    </w:pPr>
  </w:style>
  <w:style w:type="character" w:customStyle="1" w:styleId="FooterChar">
    <w:name w:val="Footer Char"/>
    <w:basedOn w:val="DefaultParagraphFont"/>
    <w:link w:val="Footer"/>
    <w:uiPriority w:val="99"/>
    <w:rsid w:val="007C2B63"/>
  </w:style>
  <w:style w:type="paragraph" w:customStyle="1" w:styleId="CFtitle">
    <w:name w:val="CF title"/>
    <w:basedOn w:val="Normal"/>
    <w:qFormat/>
    <w:rsid w:val="007C2B63"/>
    <w:pPr>
      <w:jc w:val="right"/>
    </w:pPr>
    <w:rPr>
      <w:color w:val="FFFFFF" w:themeColor="background1"/>
      <w:sz w:val="28"/>
      <w:szCs w:val="28"/>
    </w:rPr>
  </w:style>
  <w:style w:type="paragraph" w:customStyle="1" w:styleId="FSsubheading">
    <w:name w:val="FS sub heading"/>
    <w:basedOn w:val="Normal"/>
    <w:qFormat/>
    <w:rsid w:val="007C2B63"/>
    <w:rPr>
      <w:b/>
      <w:bCs/>
      <w:color w:val="8D7252"/>
    </w:rPr>
  </w:style>
  <w:style w:type="character" w:styleId="PageNumber">
    <w:name w:val="page number"/>
    <w:basedOn w:val="DefaultParagraphFont"/>
    <w:uiPriority w:val="99"/>
    <w:semiHidden/>
    <w:unhideWhenUsed/>
    <w:rsid w:val="004B0600"/>
  </w:style>
  <w:style w:type="paragraph" w:customStyle="1" w:styleId="FSTitle">
    <w:name w:val="FS Title"/>
    <w:basedOn w:val="Normal"/>
    <w:qFormat/>
    <w:rsid w:val="002622CC"/>
    <w:pPr>
      <w:jc w:val="right"/>
    </w:pPr>
    <w:rPr>
      <w:b/>
      <w:bCs/>
      <w:color w:val="F2F2F2" w:themeColor="background1" w:themeShade="F2"/>
      <w:sz w:val="28"/>
      <w:szCs w:val="28"/>
    </w:rPr>
  </w:style>
  <w:style w:type="character" w:customStyle="1" w:styleId="Heading2Char">
    <w:name w:val="Heading 2 Char"/>
    <w:basedOn w:val="DefaultParagraphFont"/>
    <w:link w:val="Heading2"/>
    <w:uiPriority w:val="9"/>
    <w:rsid w:val="00CC03FB"/>
    <w:rPr>
      <w:rFonts w:ascii="Calibri" w:eastAsiaTheme="majorEastAsia" w:hAnsi="Calibri" w:cstheme="majorBidi"/>
      <w:b/>
      <w:bCs/>
      <w:color w:val="947246"/>
      <w:sz w:val="22"/>
      <w:szCs w:val="26"/>
      <w:lang w:val="en-AU"/>
    </w:rPr>
  </w:style>
  <w:style w:type="paragraph" w:customStyle="1" w:styleId="Bullet1">
    <w:name w:val="Bullet 1"/>
    <w:basedOn w:val="Normal"/>
    <w:qFormat/>
    <w:rsid w:val="00CC03FB"/>
    <w:pPr>
      <w:numPr>
        <w:numId w:val="6"/>
      </w:numPr>
      <w:suppressAutoHyphens/>
      <w:spacing w:after="100" w:line="260" w:lineRule="atLeast"/>
    </w:pPr>
    <w:rPr>
      <w:rFonts w:ascii="Calibri" w:eastAsiaTheme="minorHAnsi" w:hAnsi="Calibri"/>
      <w:color w:val="404040" w:themeColor="text1" w:themeTint="BF"/>
      <w:lang w:val="en-AU"/>
    </w:rPr>
  </w:style>
  <w:style w:type="paragraph" w:customStyle="1" w:styleId="Bullet2">
    <w:name w:val="Bullet 2"/>
    <w:basedOn w:val="Normal"/>
    <w:qFormat/>
    <w:rsid w:val="00CC03FB"/>
    <w:pPr>
      <w:numPr>
        <w:ilvl w:val="1"/>
        <w:numId w:val="6"/>
      </w:numPr>
      <w:suppressAutoHyphens/>
      <w:spacing w:after="100" w:line="260" w:lineRule="atLeast"/>
    </w:pPr>
    <w:rPr>
      <w:rFonts w:ascii="Calibri" w:eastAsiaTheme="minorHAnsi" w:hAnsi="Calibri"/>
      <w:color w:val="404040" w:themeColor="text1" w:themeTint="BF"/>
      <w:lang w:val="en-AU"/>
    </w:rPr>
  </w:style>
  <w:style w:type="paragraph" w:customStyle="1" w:styleId="Bullet3">
    <w:name w:val="Bullet 3"/>
    <w:basedOn w:val="Normal"/>
    <w:qFormat/>
    <w:rsid w:val="00CC03FB"/>
    <w:pPr>
      <w:numPr>
        <w:ilvl w:val="2"/>
        <w:numId w:val="6"/>
      </w:numPr>
      <w:suppressAutoHyphens/>
      <w:spacing w:after="100" w:line="260" w:lineRule="atLeast"/>
    </w:pPr>
    <w:rPr>
      <w:rFonts w:ascii="Calibri" w:eastAsiaTheme="minorHAnsi" w:hAnsi="Calibri"/>
      <w:color w:val="404040" w:themeColor="text1" w:themeTint="BF"/>
      <w:lang w:val="en-AU"/>
    </w:rPr>
  </w:style>
  <w:style w:type="paragraph" w:customStyle="1" w:styleId="NumberedList1">
    <w:name w:val="Numbered List 1"/>
    <w:basedOn w:val="Normal"/>
    <w:qFormat/>
    <w:rsid w:val="00CC03FB"/>
    <w:pPr>
      <w:numPr>
        <w:numId w:val="3"/>
      </w:numPr>
      <w:suppressAutoHyphens/>
      <w:spacing w:after="100" w:line="260" w:lineRule="atLeast"/>
    </w:pPr>
    <w:rPr>
      <w:rFonts w:ascii="Calibri" w:eastAsiaTheme="minorHAnsi" w:hAnsi="Calibri"/>
      <w:color w:val="404040" w:themeColor="text1" w:themeTint="BF"/>
      <w:lang w:val="en-AU"/>
    </w:rPr>
  </w:style>
  <w:style w:type="paragraph" w:customStyle="1" w:styleId="NumberedList2">
    <w:name w:val="Numbered List 2"/>
    <w:basedOn w:val="NumberedList1"/>
    <w:qFormat/>
    <w:rsid w:val="00CC03FB"/>
    <w:pPr>
      <w:numPr>
        <w:ilvl w:val="1"/>
      </w:numPr>
    </w:pPr>
  </w:style>
  <w:style w:type="paragraph" w:customStyle="1" w:styleId="NumberedList3">
    <w:name w:val="Numbered List 3"/>
    <w:basedOn w:val="Normal"/>
    <w:qFormat/>
    <w:rsid w:val="00CC03FB"/>
    <w:pPr>
      <w:numPr>
        <w:ilvl w:val="2"/>
        <w:numId w:val="3"/>
      </w:numPr>
      <w:suppressAutoHyphens/>
      <w:spacing w:after="100" w:line="260" w:lineRule="atLeast"/>
    </w:pPr>
    <w:rPr>
      <w:rFonts w:ascii="Calibri" w:eastAsiaTheme="minorHAnsi" w:hAnsi="Calibri"/>
      <w:color w:val="404040" w:themeColor="text1" w:themeTint="BF"/>
      <w:lang w:val="en-AU"/>
    </w:rPr>
  </w:style>
  <w:style w:type="numbering" w:customStyle="1" w:styleId="BulletsList">
    <w:name w:val="Bullets List"/>
    <w:uiPriority w:val="99"/>
    <w:rsid w:val="00CC03FB"/>
    <w:pPr>
      <w:numPr>
        <w:numId w:val="1"/>
      </w:numPr>
    </w:pPr>
  </w:style>
  <w:style w:type="numbering" w:customStyle="1" w:styleId="Numberedlist">
    <w:name w:val="Numbered list"/>
    <w:uiPriority w:val="99"/>
    <w:rsid w:val="00CC03FB"/>
    <w:pPr>
      <w:numPr>
        <w:numId w:val="2"/>
      </w:numPr>
    </w:pPr>
  </w:style>
  <w:style w:type="paragraph" w:customStyle="1" w:styleId="AlphaList1">
    <w:name w:val="Alpha List 1"/>
    <w:basedOn w:val="Normal"/>
    <w:qFormat/>
    <w:rsid w:val="00CC03FB"/>
    <w:pPr>
      <w:numPr>
        <w:numId w:val="5"/>
      </w:numPr>
      <w:suppressAutoHyphens/>
      <w:spacing w:before="100" w:after="100" w:line="260" w:lineRule="atLeast"/>
    </w:pPr>
    <w:rPr>
      <w:rFonts w:ascii="Calibri" w:eastAsiaTheme="minorHAnsi" w:hAnsi="Calibri"/>
      <w:color w:val="404040" w:themeColor="text1" w:themeTint="BF"/>
    </w:rPr>
  </w:style>
  <w:style w:type="paragraph" w:customStyle="1" w:styleId="AlphaList2">
    <w:name w:val="Alpha List 2"/>
    <w:basedOn w:val="Normal"/>
    <w:qFormat/>
    <w:rsid w:val="00CC03FB"/>
    <w:pPr>
      <w:numPr>
        <w:ilvl w:val="1"/>
        <w:numId w:val="5"/>
      </w:numPr>
      <w:suppressAutoHyphens/>
      <w:spacing w:before="100" w:after="100" w:line="260" w:lineRule="atLeast"/>
    </w:pPr>
    <w:rPr>
      <w:rFonts w:ascii="Calibri" w:eastAsiaTheme="minorHAnsi" w:hAnsi="Calibri"/>
      <w:color w:val="404040" w:themeColor="text1" w:themeTint="BF"/>
    </w:rPr>
  </w:style>
  <w:style w:type="paragraph" w:customStyle="1" w:styleId="AlphaList3">
    <w:name w:val="Alpha List 3"/>
    <w:basedOn w:val="Normal"/>
    <w:qFormat/>
    <w:rsid w:val="00CC03FB"/>
    <w:pPr>
      <w:numPr>
        <w:ilvl w:val="2"/>
        <w:numId w:val="5"/>
      </w:numPr>
      <w:suppressAutoHyphens/>
      <w:spacing w:before="100" w:after="100" w:line="260" w:lineRule="atLeast"/>
    </w:pPr>
    <w:rPr>
      <w:rFonts w:ascii="Calibri" w:eastAsiaTheme="minorHAnsi" w:hAnsi="Calibri"/>
      <w:color w:val="404040" w:themeColor="text1" w:themeTint="BF"/>
    </w:rPr>
  </w:style>
  <w:style w:type="numbering" w:customStyle="1" w:styleId="AlphaLists">
    <w:name w:val="Alpha Lists"/>
    <w:uiPriority w:val="99"/>
    <w:rsid w:val="00CC03FB"/>
    <w:pPr>
      <w:numPr>
        <w:numId w:val="4"/>
      </w:numPr>
    </w:pPr>
  </w:style>
  <w:style w:type="table" w:customStyle="1" w:styleId="Report-Table1">
    <w:name w:val="Report-Table1"/>
    <w:basedOn w:val="TableNormal"/>
    <w:next w:val="TableGrid"/>
    <w:uiPriority w:val="59"/>
    <w:rsid w:val="00CC03FB"/>
    <w:rPr>
      <w:rFonts w:eastAsiaTheme="minorHAnsi"/>
      <w:color w:val="404040"/>
      <w:sz w:val="22"/>
      <w:szCs w:val="22"/>
      <w:lang w:val="en-AU"/>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28" w:type="dxa"/>
        <w:left w:w="28" w:type="dxa"/>
        <w:bottom w:w="28" w:type="dxa"/>
        <w:right w:w="28" w:type="dxa"/>
      </w:tblCellMar>
    </w:tblPr>
    <w:tblStylePr w:type="firstRow">
      <w:rPr>
        <w:rFonts w:ascii="Calibri" w:hAnsi="Calibri"/>
        <w:sz w:val="22"/>
      </w:rPr>
      <w:tblPr/>
      <w:tcPr>
        <w:shd w:val="clear" w:color="auto" w:fill="D9D9D9"/>
      </w:tcPr>
    </w:tblStylePr>
  </w:style>
  <w:style w:type="table" w:styleId="TableGrid">
    <w:name w:val="Table Grid"/>
    <w:aliases w:val="ACCC Table"/>
    <w:basedOn w:val="TableNormal"/>
    <w:uiPriority w:val="59"/>
    <w:rsid w:val="00CC0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80C51"/>
    <w:rPr>
      <w:rFonts w:ascii="Arial" w:hAnsi="Arial"/>
      <w:color w:val="0000FF"/>
      <w:sz w:val="22"/>
      <w:u w:val="single"/>
    </w:rPr>
  </w:style>
  <w:style w:type="paragraph" w:styleId="ListParagraph">
    <w:name w:val="List Paragraph"/>
    <w:basedOn w:val="Normal"/>
    <w:uiPriority w:val="34"/>
    <w:qFormat/>
    <w:rsid w:val="00380C51"/>
    <w:pPr>
      <w:numPr>
        <w:numId w:val="7"/>
      </w:numPr>
      <w:tabs>
        <w:tab w:val="left" w:pos="340"/>
      </w:tabs>
      <w:spacing w:before="120" w:after="0"/>
    </w:pPr>
    <w:rPr>
      <w:rFonts w:ascii="Arial" w:eastAsiaTheme="minorHAnsi" w:hAnsi="Arial"/>
      <w:lang w:val="en-AU"/>
    </w:rPr>
  </w:style>
  <w:style w:type="paragraph" w:styleId="FootnoteText">
    <w:name w:val="footnote text"/>
    <w:basedOn w:val="Normal"/>
    <w:link w:val="FootnoteTextChar"/>
    <w:uiPriority w:val="99"/>
    <w:semiHidden/>
    <w:unhideWhenUsed/>
    <w:rsid w:val="00901B50"/>
    <w:pPr>
      <w:spacing w:after="0"/>
    </w:pPr>
    <w:rPr>
      <w:sz w:val="20"/>
      <w:szCs w:val="20"/>
    </w:rPr>
  </w:style>
  <w:style w:type="character" w:customStyle="1" w:styleId="FootnoteTextChar">
    <w:name w:val="Footnote Text Char"/>
    <w:basedOn w:val="DefaultParagraphFont"/>
    <w:link w:val="FootnoteText"/>
    <w:uiPriority w:val="99"/>
    <w:semiHidden/>
    <w:rsid w:val="00901B50"/>
    <w:rPr>
      <w:rFonts w:asciiTheme="majorHAnsi" w:hAnsiTheme="majorHAnsi"/>
      <w:sz w:val="20"/>
      <w:szCs w:val="20"/>
    </w:rPr>
  </w:style>
  <w:style w:type="character" w:styleId="FootnoteReference">
    <w:name w:val="footnote reference"/>
    <w:basedOn w:val="DefaultParagraphFont"/>
    <w:uiPriority w:val="99"/>
    <w:semiHidden/>
    <w:unhideWhenUsed/>
    <w:rsid w:val="00901B50"/>
    <w:rPr>
      <w:vertAlign w:val="superscript"/>
    </w:rPr>
  </w:style>
  <w:style w:type="character" w:styleId="FollowedHyperlink">
    <w:name w:val="FollowedHyperlink"/>
    <w:basedOn w:val="DefaultParagraphFont"/>
    <w:uiPriority w:val="99"/>
    <w:semiHidden/>
    <w:unhideWhenUsed/>
    <w:rsid w:val="00957888"/>
    <w:rPr>
      <w:color w:val="800080" w:themeColor="followedHyperlink"/>
      <w:u w:val="single"/>
    </w:rPr>
  </w:style>
  <w:style w:type="character" w:styleId="CommentReference">
    <w:name w:val="annotation reference"/>
    <w:basedOn w:val="DefaultParagraphFont"/>
    <w:uiPriority w:val="99"/>
    <w:semiHidden/>
    <w:unhideWhenUsed/>
    <w:rsid w:val="000B4BED"/>
    <w:rPr>
      <w:sz w:val="16"/>
      <w:szCs w:val="16"/>
    </w:rPr>
  </w:style>
  <w:style w:type="paragraph" w:styleId="CommentText">
    <w:name w:val="annotation text"/>
    <w:basedOn w:val="Normal"/>
    <w:link w:val="CommentTextChar"/>
    <w:uiPriority w:val="99"/>
    <w:semiHidden/>
    <w:unhideWhenUsed/>
    <w:rsid w:val="000B4BED"/>
    <w:rPr>
      <w:sz w:val="20"/>
      <w:szCs w:val="20"/>
    </w:rPr>
  </w:style>
  <w:style w:type="character" w:customStyle="1" w:styleId="CommentTextChar">
    <w:name w:val="Comment Text Char"/>
    <w:basedOn w:val="DefaultParagraphFont"/>
    <w:link w:val="CommentText"/>
    <w:uiPriority w:val="99"/>
    <w:semiHidden/>
    <w:rsid w:val="000B4BED"/>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B4BED"/>
    <w:rPr>
      <w:b/>
      <w:bCs/>
    </w:rPr>
  </w:style>
  <w:style w:type="character" w:customStyle="1" w:styleId="CommentSubjectChar">
    <w:name w:val="Comment Subject Char"/>
    <w:basedOn w:val="CommentTextChar"/>
    <w:link w:val="CommentSubject"/>
    <w:uiPriority w:val="99"/>
    <w:semiHidden/>
    <w:rsid w:val="000B4BED"/>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401">
      <w:bodyDiv w:val="1"/>
      <w:marLeft w:val="0"/>
      <w:marRight w:val="0"/>
      <w:marTop w:val="0"/>
      <w:marBottom w:val="0"/>
      <w:divBdr>
        <w:top w:val="none" w:sz="0" w:space="0" w:color="auto"/>
        <w:left w:val="none" w:sz="0" w:space="0" w:color="auto"/>
        <w:bottom w:val="none" w:sz="0" w:space="0" w:color="auto"/>
        <w:right w:val="none" w:sz="0" w:space="0" w:color="auto"/>
      </w:divBdr>
    </w:div>
    <w:div w:id="412358153">
      <w:bodyDiv w:val="1"/>
      <w:marLeft w:val="0"/>
      <w:marRight w:val="0"/>
      <w:marTop w:val="0"/>
      <w:marBottom w:val="0"/>
      <w:divBdr>
        <w:top w:val="none" w:sz="0" w:space="0" w:color="auto"/>
        <w:left w:val="none" w:sz="0" w:space="0" w:color="auto"/>
        <w:bottom w:val="none" w:sz="0" w:space="0" w:color="auto"/>
        <w:right w:val="none" w:sz="0" w:space="0" w:color="auto"/>
      </w:divBdr>
    </w:div>
    <w:div w:id="716245457">
      <w:bodyDiv w:val="1"/>
      <w:marLeft w:val="0"/>
      <w:marRight w:val="0"/>
      <w:marTop w:val="0"/>
      <w:marBottom w:val="0"/>
      <w:divBdr>
        <w:top w:val="none" w:sz="0" w:space="0" w:color="auto"/>
        <w:left w:val="none" w:sz="0" w:space="0" w:color="auto"/>
        <w:bottom w:val="none" w:sz="0" w:space="0" w:color="auto"/>
        <w:right w:val="none" w:sz="0" w:space="0" w:color="auto"/>
      </w:divBdr>
    </w:div>
    <w:div w:id="870918975">
      <w:bodyDiv w:val="1"/>
      <w:marLeft w:val="0"/>
      <w:marRight w:val="0"/>
      <w:marTop w:val="0"/>
      <w:marBottom w:val="0"/>
      <w:divBdr>
        <w:top w:val="none" w:sz="0" w:space="0" w:color="auto"/>
        <w:left w:val="none" w:sz="0" w:space="0" w:color="auto"/>
        <w:bottom w:val="none" w:sz="0" w:space="0" w:color="auto"/>
        <w:right w:val="none" w:sz="0" w:space="0" w:color="auto"/>
      </w:divBdr>
    </w:div>
    <w:div w:id="927884577">
      <w:bodyDiv w:val="1"/>
      <w:marLeft w:val="0"/>
      <w:marRight w:val="0"/>
      <w:marTop w:val="0"/>
      <w:marBottom w:val="0"/>
      <w:divBdr>
        <w:top w:val="none" w:sz="0" w:space="0" w:color="auto"/>
        <w:left w:val="none" w:sz="0" w:space="0" w:color="auto"/>
        <w:bottom w:val="none" w:sz="0" w:space="0" w:color="auto"/>
        <w:right w:val="none" w:sz="0" w:space="0" w:color="auto"/>
      </w:divBdr>
    </w:div>
    <w:div w:id="1201935431">
      <w:bodyDiv w:val="1"/>
      <w:marLeft w:val="0"/>
      <w:marRight w:val="0"/>
      <w:marTop w:val="0"/>
      <w:marBottom w:val="0"/>
      <w:divBdr>
        <w:top w:val="none" w:sz="0" w:space="0" w:color="auto"/>
        <w:left w:val="none" w:sz="0" w:space="0" w:color="auto"/>
        <w:bottom w:val="none" w:sz="0" w:space="0" w:color="auto"/>
        <w:right w:val="none" w:sz="0" w:space="0" w:color="auto"/>
      </w:divBdr>
    </w:div>
    <w:div w:id="2132282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dppnet/library/Books/Recno273396.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ic.gov.au/about-asic/asic-investigations-and-enforcement/recovery-of-investigation-expenses-and-cos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ajd\AppData\Local\Temp\1\Temp1_Fact%20sheets%20(2).zip\Fact%20sheets\0128_Light%20blue%20Fact%20sheet%20templates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6DFE-FD4B-4C57-84BC-4401A624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0128_Light blue Fact sheet templates_v2</Template>
  <TotalTime>1</TotalTime>
  <Pages>4</Pages>
  <Words>1194</Words>
  <Characters>5984</Characters>
  <Application>Microsoft Office Word</Application>
  <DocSecurity>4</DocSecurity>
  <Lines>157</Lines>
  <Paragraphs>71</Paragraphs>
  <ScaleCrop>false</ScaleCrop>
  <HeadingPairs>
    <vt:vector size="2" baseType="variant">
      <vt:variant>
        <vt:lpstr>Title</vt:lpstr>
      </vt:variant>
      <vt:variant>
        <vt:i4>1</vt:i4>
      </vt:variant>
    </vt:vector>
  </HeadingPairs>
  <TitlesOfParts>
    <vt:vector size="1" baseType="lpstr">
      <vt:lpstr/>
    </vt:vector>
  </TitlesOfParts>
  <Company>Commonwealth DPP</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Ratajkoski Dijanna</dc:creator>
  <cp:lastModifiedBy>Watson Jeanette</cp:lastModifiedBy>
  <cp:revision>2</cp:revision>
  <dcterms:created xsi:type="dcterms:W3CDTF">2020-08-05T02:57:00Z</dcterms:created>
  <dcterms:modified xsi:type="dcterms:W3CDTF">2020-08-05T02:57:00Z</dcterms:modified>
</cp:coreProperties>
</file>